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A6C" w:rsidRDefault="004E6A6C" w:rsidP="004E6A6C">
      <w:pPr>
        <w:pStyle w:val="Default"/>
      </w:pPr>
    </w:p>
    <w:p w:rsidR="00EB0C8E" w:rsidRDefault="00A30E5A" w:rsidP="00EB0C8E">
      <w:pPr>
        <w:pStyle w:val="a3"/>
        <w:spacing w:line="360" w:lineRule="auto"/>
        <w:ind w:left="6379" w:right="-18" w:hanging="3685"/>
        <w:jc w:val="both"/>
        <w:rPr>
          <w:i/>
          <w:sz w:val="28"/>
          <w:szCs w:val="28"/>
          <w:lang w:val="uk-UA"/>
        </w:rPr>
      </w:pPr>
      <w:r w:rsidRPr="009F729B">
        <w:rPr>
          <w:i/>
          <w:sz w:val="28"/>
          <w:szCs w:val="28"/>
          <w:lang w:val="uk-UA"/>
        </w:rPr>
        <w:t xml:space="preserve">                                                                                                                                </w:t>
      </w:r>
      <w:r w:rsidR="00EB0C8E">
        <w:rPr>
          <w:i/>
          <w:sz w:val="28"/>
          <w:szCs w:val="28"/>
          <w:lang w:val="uk-UA"/>
        </w:rPr>
        <w:t xml:space="preserve">                           Голова Експертної Ради </w:t>
      </w:r>
    </w:p>
    <w:p w:rsidR="00EB0C8E" w:rsidRDefault="00EB0C8E" w:rsidP="00EB0C8E">
      <w:pPr>
        <w:pStyle w:val="a3"/>
        <w:spacing w:line="360" w:lineRule="auto"/>
        <w:ind w:left="6237" w:right="-18" w:hanging="2835"/>
        <w:jc w:val="both"/>
        <w:rPr>
          <w:i/>
          <w:sz w:val="28"/>
          <w:szCs w:val="28"/>
          <w:lang w:val="uk-UA"/>
        </w:rPr>
      </w:pPr>
      <w:r>
        <w:rPr>
          <w:i/>
          <w:sz w:val="28"/>
          <w:szCs w:val="28"/>
          <w:lang w:val="uk-UA"/>
        </w:rPr>
        <w:t xml:space="preserve">ГО </w:t>
      </w:r>
      <w:r w:rsidRPr="00EB0C8E">
        <w:rPr>
          <w:i/>
          <w:sz w:val="28"/>
          <w:szCs w:val="28"/>
          <w:lang w:val="uk-UA"/>
        </w:rPr>
        <w:t>«АСОЦІАЦІЯ НЕЗАЛЕЖНИХ ОЦІНЮВАЧІВ»</w:t>
      </w:r>
      <w:r>
        <w:rPr>
          <w:rStyle w:val="apple-converted-space"/>
          <w:color w:val="333333"/>
          <w:shd w:val="clear" w:color="auto" w:fill="F2F2F0"/>
        </w:rPr>
        <w:t> </w:t>
      </w:r>
      <w:r>
        <w:rPr>
          <w:i/>
          <w:sz w:val="28"/>
          <w:szCs w:val="28"/>
          <w:lang w:val="uk-UA"/>
        </w:rPr>
        <w:t xml:space="preserve"> </w:t>
      </w:r>
    </w:p>
    <w:p w:rsidR="00A30E5A" w:rsidRPr="009F729B" w:rsidRDefault="00F3379A" w:rsidP="003E5681">
      <w:pPr>
        <w:pStyle w:val="a3"/>
        <w:spacing w:line="360" w:lineRule="auto"/>
        <w:ind w:left="6946" w:right="-18"/>
        <w:jc w:val="both"/>
        <w:rPr>
          <w:sz w:val="28"/>
          <w:szCs w:val="28"/>
          <w:lang w:val="uk-UA"/>
        </w:rPr>
      </w:pPr>
      <w:r w:rsidRPr="009F729B">
        <w:rPr>
          <w:b/>
          <w:sz w:val="28"/>
          <w:szCs w:val="28"/>
        </w:rPr>
        <w:t>А</w:t>
      </w:r>
      <w:r w:rsidR="003E5681" w:rsidRPr="009F729B">
        <w:rPr>
          <w:b/>
          <w:sz w:val="28"/>
          <w:szCs w:val="28"/>
          <w:lang w:val="uk-UA"/>
        </w:rPr>
        <w:t>РТЕМЕНКО</w:t>
      </w:r>
      <w:r w:rsidRPr="009F729B">
        <w:rPr>
          <w:b/>
          <w:sz w:val="28"/>
          <w:szCs w:val="28"/>
        </w:rPr>
        <w:t xml:space="preserve"> Д</w:t>
      </w:r>
      <w:r w:rsidR="00A30E5A" w:rsidRPr="009F729B">
        <w:rPr>
          <w:b/>
          <w:sz w:val="28"/>
          <w:szCs w:val="28"/>
          <w:lang w:val="uk-UA"/>
        </w:rPr>
        <w:t>.</w:t>
      </w:r>
      <w:r w:rsidRPr="009F729B">
        <w:rPr>
          <w:b/>
          <w:sz w:val="28"/>
          <w:szCs w:val="28"/>
        </w:rPr>
        <w:t xml:space="preserve"> М</w:t>
      </w:r>
      <w:r w:rsidR="00A30E5A" w:rsidRPr="009F729B">
        <w:rPr>
          <w:b/>
          <w:sz w:val="28"/>
          <w:szCs w:val="28"/>
          <w:lang w:val="uk-UA"/>
        </w:rPr>
        <w:t>.</w:t>
      </w:r>
      <w:r w:rsidRPr="009F729B">
        <w:rPr>
          <w:sz w:val="28"/>
          <w:szCs w:val="28"/>
        </w:rPr>
        <w:t xml:space="preserve"> </w:t>
      </w:r>
    </w:p>
    <w:p w:rsidR="00F320DB" w:rsidRPr="009F729B" w:rsidRDefault="00F320DB" w:rsidP="00A30E5A">
      <w:pPr>
        <w:pStyle w:val="a3"/>
        <w:spacing w:line="360" w:lineRule="auto"/>
        <w:ind w:left="6372" w:right="-18" w:firstLine="708"/>
        <w:jc w:val="both"/>
        <w:rPr>
          <w:sz w:val="28"/>
          <w:szCs w:val="28"/>
          <w:lang w:val="uk-UA"/>
        </w:rPr>
      </w:pPr>
    </w:p>
    <w:p w:rsidR="00E578FE" w:rsidRPr="009F729B" w:rsidRDefault="00E578FE" w:rsidP="00E578FE">
      <w:pPr>
        <w:pStyle w:val="a3"/>
        <w:spacing w:line="360" w:lineRule="auto"/>
        <w:ind w:left="0" w:right="-18"/>
        <w:jc w:val="center"/>
        <w:rPr>
          <w:b/>
          <w:sz w:val="28"/>
          <w:szCs w:val="28"/>
          <w:lang w:val="uk-UA"/>
        </w:rPr>
      </w:pPr>
      <w:r w:rsidRPr="004B2288">
        <w:rPr>
          <w:b/>
          <w:sz w:val="28"/>
          <w:szCs w:val="28"/>
          <w:lang w:val="uk-UA"/>
        </w:rPr>
        <w:t>“</w:t>
      </w:r>
      <w:r>
        <w:rPr>
          <w:b/>
          <w:sz w:val="28"/>
          <w:szCs w:val="28"/>
          <w:lang w:val="uk-UA"/>
        </w:rPr>
        <w:t xml:space="preserve">ОСОБЛИВОСТІ ВИЗНАЧЕННЯ </w:t>
      </w:r>
      <w:r w:rsidR="00905C32">
        <w:rPr>
          <w:b/>
          <w:sz w:val="28"/>
          <w:szCs w:val="28"/>
          <w:lang w:val="uk-UA"/>
        </w:rPr>
        <w:t>ЛІКВІДАЦІЙНОЇ</w:t>
      </w:r>
      <w:r>
        <w:rPr>
          <w:b/>
          <w:sz w:val="28"/>
          <w:szCs w:val="28"/>
          <w:lang w:val="uk-UA"/>
        </w:rPr>
        <w:t xml:space="preserve"> ВАРТОСТІ </w:t>
      </w:r>
      <w:r w:rsidR="00905C32">
        <w:rPr>
          <w:b/>
          <w:sz w:val="28"/>
          <w:szCs w:val="28"/>
          <w:lang w:val="uk-UA"/>
        </w:rPr>
        <w:t>МАЙНА</w:t>
      </w:r>
      <w:r w:rsidR="00A73376">
        <w:rPr>
          <w:b/>
          <w:sz w:val="28"/>
          <w:szCs w:val="28"/>
          <w:lang w:val="uk-UA"/>
        </w:rPr>
        <w:t xml:space="preserve"> ТА МАЙНОВИХ ПРАВ</w:t>
      </w:r>
      <w:r w:rsidR="00756D17">
        <w:rPr>
          <w:b/>
          <w:sz w:val="28"/>
          <w:szCs w:val="28"/>
          <w:lang w:val="uk-UA"/>
        </w:rPr>
        <w:t xml:space="preserve"> ПРИ КРЕДИТУВАННІ</w:t>
      </w:r>
      <w:r w:rsidR="00F50E49" w:rsidRPr="00F50E49">
        <w:rPr>
          <w:b/>
          <w:sz w:val="28"/>
          <w:szCs w:val="28"/>
        </w:rPr>
        <w:t xml:space="preserve"> </w:t>
      </w:r>
      <w:r w:rsidR="00F50E49">
        <w:rPr>
          <w:b/>
          <w:sz w:val="28"/>
          <w:szCs w:val="28"/>
          <w:lang w:val="uk-UA"/>
        </w:rPr>
        <w:t>НА</w:t>
      </w:r>
      <w:r w:rsidR="00F50E49" w:rsidRPr="00F50E49">
        <w:rPr>
          <w:b/>
          <w:sz w:val="28"/>
          <w:szCs w:val="28"/>
          <w:lang w:val="uk-UA"/>
        </w:rPr>
        <w:t xml:space="preserve"> </w:t>
      </w:r>
      <w:r w:rsidR="00F50E49">
        <w:rPr>
          <w:b/>
          <w:sz w:val="28"/>
          <w:szCs w:val="28"/>
          <w:lang w:val="uk-UA"/>
        </w:rPr>
        <w:t>ЗРОСТАЮЧОМУ</w:t>
      </w:r>
      <w:r w:rsidR="00F50E49" w:rsidRPr="00F50E49">
        <w:rPr>
          <w:b/>
          <w:sz w:val="28"/>
          <w:szCs w:val="28"/>
          <w:lang w:val="uk-UA"/>
        </w:rPr>
        <w:t xml:space="preserve">, </w:t>
      </w:r>
      <w:r w:rsidR="00F50E49">
        <w:rPr>
          <w:b/>
          <w:sz w:val="28"/>
          <w:szCs w:val="28"/>
          <w:lang w:val="uk-UA"/>
        </w:rPr>
        <w:t>НАСИЧЕНОМУ</w:t>
      </w:r>
      <w:r w:rsidR="00F50E49" w:rsidRPr="00F50E49">
        <w:rPr>
          <w:b/>
          <w:sz w:val="28"/>
          <w:szCs w:val="28"/>
          <w:lang w:val="uk-UA"/>
        </w:rPr>
        <w:t xml:space="preserve"> </w:t>
      </w:r>
      <w:r w:rsidR="00F50E49">
        <w:rPr>
          <w:b/>
          <w:sz w:val="28"/>
          <w:szCs w:val="28"/>
          <w:lang w:val="uk-UA"/>
        </w:rPr>
        <w:t>ТА</w:t>
      </w:r>
      <w:r w:rsidR="00F50E49" w:rsidRPr="00F50E49">
        <w:rPr>
          <w:b/>
          <w:sz w:val="28"/>
          <w:szCs w:val="28"/>
          <w:lang w:val="uk-UA"/>
        </w:rPr>
        <w:t xml:space="preserve"> </w:t>
      </w:r>
      <w:r w:rsidR="00F50E49">
        <w:rPr>
          <w:b/>
          <w:sz w:val="28"/>
          <w:szCs w:val="28"/>
          <w:lang w:val="uk-UA"/>
        </w:rPr>
        <w:t>СПАДАЮЧОМУ РИНКАХ</w:t>
      </w:r>
      <w:r w:rsidRPr="00F50E49">
        <w:rPr>
          <w:b/>
          <w:sz w:val="28"/>
          <w:szCs w:val="28"/>
          <w:lang w:val="uk-UA"/>
        </w:rPr>
        <w:t>”</w:t>
      </w:r>
    </w:p>
    <w:p w:rsidR="00E578FE" w:rsidRPr="009F729B" w:rsidRDefault="00E578FE" w:rsidP="00A30E5A">
      <w:pPr>
        <w:pStyle w:val="a3"/>
        <w:spacing w:line="360" w:lineRule="auto"/>
        <w:ind w:left="6372" w:right="-18" w:firstLine="708"/>
        <w:jc w:val="both"/>
        <w:rPr>
          <w:sz w:val="28"/>
          <w:szCs w:val="28"/>
          <w:lang w:val="uk-UA"/>
        </w:rPr>
      </w:pPr>
    </w:p>
    <w:p w:rsidR="00401DD8" w:rsidRDefault="004A5FDE" w:rsidP="00B80BEA">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9F729B">
        <w:rPr>
          <w:rFonts w:ascii="Times New Roman" w:hAnsi="Times New Roman" w:cs="Times New Roman"/>
          <w:color w:val="000000"/>
          <w:sz w:val="28"/>
          <w:szCs w:val="28"/>
        </w:rPr>
        <w:t xml:space="preserve">      </w:t>
      </w:r>
      <w:r w:rsidR="00756D17">
        <w:rPr>
          <w:rFonts w:ascii="Times New Roman" w:hAnsi="Times New Roman" w:cs="Times New Roman"/>
          <w:color w:val="000000"/>
          <w:sz w:val="28"/>
          <w:szCs w:val="28"/>
        </w:rPr>
        <w:t>М</w:t>
      </w:r>
      <w:r w:rsidR="00B80BEA">
        <w:rPr>
          <w:rFonts w:ascii="Times New Roman" w:hAnsi="Times New Roman" w:cs="Times New Roman"/>
          <w:color w:val="000000"/>
          <w:sz w:val="28"/>
          <w:szCs w:val="28"/>
        </w:rPr>
        <w:t>айно</w:t>
      </w:r>
      <w:r w:rsidR="00756D17">
        <w:rPr>
          <w:rFonts w:ascii="Times New Roman" w:hAnsi="Times New Roman" w:cs="Times New Roman"/>
          <w:color w:val="000000"/>
          <w:sz w:val="28"/>
          <w:szCs w:val="28"/>
        </w:rPr>
        <w:t>, що виступає забезпеченням за кредитними операціями</w:t>
      </w:r>
      <w:r w:rsidR="00B80BEA">
        <w:rPr>
          <w:rFonts w:ascii="Times New Roman" w:hAnsi="Times New Roman" w:cs="Times New Roman"/>
          <w:color w:val="000000"/>
          <w:sz w:val="28"/>
          <w:szCs w:val="28"/>
        </w:rPr>
        <w:t xml:space="preserve"> характер</w:t>
      </w:r>
      <w:r w:rsidR="00756D17">
        <w:rPr>
          <w:rFonts w:ascii="Times New Roman" w:hAnsi="Times New Roman" w:cs="Times New Roman"/>
          <w:color w:val="000000"/>
          <w:sz w:val="28"/>
          <w:szCs w:val="28"/>
        </w:rPr>
        <w:t>изується</w:t>
      </w:r>
      <w:r w:rsidR="00B80BEA">
        <w:rPr>
          <w:rFonts w:ascii="Times New Roman" w:hAnsi="Times New Roman" w:cs="Times New Roman"/>
          <w:color w:val="000000"/>
          <w:sz w:val="28"/>
          <w:szCs w:val="28"/>
        </w:rPr>
        <w:t xml:space="preserve"> час</w:t>
      </w:r>
      <w:r w:rsidR="00756D17">
        <w:rPr>
          <w:rFonts w:ascii="Times New Roman" w:hAnsi="Times New Roman" w:cs="Times New Roman"/>
          <w:color w:val="000000"/>
          <w:sz w:val="28"/>
          <w:szCs w:val="28"/>
        </w:rPr>
        <w:t>ом</w:t>
      </w:r>
      <w:r w:rsidR="00B80BEA">
        <w:rPr>
          <w:rFonts w:ascii="Times New Roman" w:hAnsi="Times New Roman" w:cs="Times New Roman"/>
          <w:color w:val="000000"/>
          <w:sz w:val="28"/>
          <w:szCs w:val="28"/>
        </w:rPr>
        <w:t xml:space="preserve"> експозиції, </w:t>
      </w:r>
      <w:r w:rsidR="00756D17">
        <w:rPr>
          <w:rFonts w:ascii="Times New Roman" w:hAnsi="Times New Roman" w:cs="Times New Roman"/>
          <w:color w:val="000000"/>
          <w:sz w:val="28"/>
          <w:szCs w:val="28"/>
        </w:rPr>
        <w:t xml:space="preserve">який зумовлений </w:t>
      </w:r>
      <w:r w:rsidR="00B80BEA">
        <w:rPr>
          <w:rFonts w:ascii="Times New Roman" w:hAnsi="Times New Roman" w:cs="Times New Roman"/>
          <w:color w:val="000000"/>
          <w:sz w:val="28"/>
          <w:szCs w:val="28"/>
        </w:rPr>
        <w:t>відсутніст</w:t>
      </w:r>
      <w:r w:rsidR="00756D17">
        <w:rPr>
          <w:rFonts w:ascii="Times New Roman" w:hAnsi="Times New Roman" w:cs="Times New Roman"/>
          <w:color w:val="000000"/>
          <w:sz w:val="28"/>
          <w:szCs w:val="28"/>
        </w:rPr>
        <w:t>ю</w:t>
      </w:r>
      <w:r w:rsidR="00B80BEA">
        <w:rPr>
          <w:rFonts w:ascii="Times New Roman" w:hAnsi="Times New Roman" w:cs="Times New Roman"/>
          <w:color w:val="000000"/>
          <w:sz w:val="28"/>
          <w:szCs w:val="28"/>
        </w:rPr>
        <w:t xml:space="preserve"> </w:t>
      </w:r>
      <w:proofErr w:type="spellStart"/>
      <w:r w:rsidR="00B80BEA">
        <w:rPr>
          <w:rFonts w:ascii="Times New Roman" w:hAnsi="Times New Roman" w:cs="Times New Roman"/>
          <w:color w:val="000000"/>
          <w:sz w:val="28"/>
          <w:szCs w:val="28"/>
        </w:rPr>
        <w:t>спотового</w:t>
      </w:r>
      <w:proofErr w:type="spellEnd"/>
      <w:r w:rsidR="00B80BEA">
        <w:rPr>
          <w:rFonts w:ascii="Times New Roman" w:hAnsi="Times New Roman" w:cs="Times New Roman"/>
          <w:color w:val="000000"/>
          <w:sz w:val="28"/>
          <w:szCs w:val="28"/>
        </w:rPr>
        <w:t xml:space="preserve"> ринку (</w:t>
      </w:r>
      <w:proofErr w:type="spellStart"/>
      <w:r w:rsidR="00B80BEA">
        <w:rPr>
          <w:rFonts w:ascii="Times New Roman" w:hAnsi="Times New Roman" w:cs="Times New Roman"/>
          <w:color w:val="000000"/>
          <w:sz w:val="28"/>
          <w:szCs w:val="28"/>
        </w:rPr>
        <w:t>ринку</w:t>
      </w:r>
      <w:proofErr w:type="spellEnd"/>
      <w:r w:rsidR="00B80BEA">
        <w:rPr>
          <w:rFonts w:ascii="Times New Roman" w:hAnsi="Times New Roman" w:cs="Times New Roman"/>
          <w:color w:val="000000"/>
          <w:sz w:val="28"/>
          <w:szCs w:val="28"/>
        </w:rPr>
        <w:t xml:space="preserve">, на </w:t>
      </w:r>
      <w:r w:rsidR="00EF4A16">
        <w:rPr>
          <w:rFonts w:ascii="Times New Roman" w:hAnsi="Times New Roman" w:cs="Times New Roman"/>
          <w:color w:val="000000"/>
          <w:sz w:val="28"/>
          <w:szCs w:val="28"/>
        </w:rPr>
        <w:t>якому товари доступні для миттєвого продажу</w:t>
      </w:r>
      <w:r w:rsidR="00B80BEA">
        <w:rPr>
          <w:rFonts w:ascii="Times New Roman" w:hAnsi="Times New Roman" w:cs="Times New Roman"/>
          <w:color w:val="000000"/>
          <w:sz w:val="28"/>
          <w:szCs w:val="28"/>
        </w:rPr>
        <w:t>)</w:t>
      </w:r>
      <w:r w:rsidR="00EF4A16">
        <w:rPr>
          <w:rFonts w:ascii="Times New Roman" w:hAnsi="Times New Roman" w:cs="Times New Roman"/>
          <w:color w:val="000000"/>
          <w:sz w:val="28"/>
          <w:szCs w:val="28"/>
        </w:rPr>
        <w:t xml:space="preserve">, а також </w:t>
      </w:r>
      <w:r w:rsidR="00756D17">
        <w:rPr>
          <w:rFonts w:ascii="Times New Roman" w:hAnsi="Times New Roman" w:cs="Times New Roman"/>
          <w:color w:val="000000"/>
          <w:sz w:val="28"/>
          <w:szCs w:val="28"/>
        </w:rPr>
        <w:t>ліквідністю та станом ринку.</w:t>
      </w:r>
      <w:r w:rsidR="00EF4A16" w:rsidRPr="00432D0D">
        <w:rPr>
          <w:rFonts w:ascii="Times New Roman" w:hAnsi="Times New Roman" w:cs="Times New Roman"/>
          <w:color w:val="000000"/>
          <w:sz w:val="28"/>
          <w:szCs w:val="28"/>
        </w:rPr>
        <w:t xml:space="preserve">  </w:t>
      </w:r>
      <w:r w:rsidR="00756D17">
        <w:rPr>
          <w:rFonts w:ascii="Times New Roman" w:hAnsi="Times New Roman" w:cs="Times New Roman"/>
          <w:color w:val="000000"/>
          <w:sz w:val="28"/>
          <w:szCs w:val="28"/>
        </w:rPr>
        <w:t>Таким чином, врахування складних взаємоз</w:t>
      </w:r>
      <w:r w:rsidR="00756D17" w:rsidRPr="00756D17">
        <w:rPr>
          <w:rFonts w:ascii="Times New Roman" w:hAnsi="Times New Roman" w:cs="Times New Roman"/>
          <w:color w:val="000000"/>
          <w:sz w:val="28"/>
          <w:szCs w:val="28"/>
        </w:rPr>
        <w:t>в’</w:t>
      </w:r>
      <w:r w:rsidR="00756D17">
        <w:rPr>
          <w:rFonts w:ascii="Times New Roman" w:hAnsi="Times New Roman" w:cs="Times New Roman"/>
          <w:color w:val="000000"/>
          <w:sz w:val="28"/>
          <w:szCs w:val="28"/>
        </w:rPr>
        <w:t>язків між ціноутворюючими факторами</w:t>
      </w:r>
      <w:r w:rsidR="00401DD8">
        <w:rPr>
          <w:rFonts w:ascii="Times New Roman" w:hAnsi="Times New Roman" w:cs="Times New Roman"/>
          <w:color w:val="000000"/>
          <w:sz w:val="28"/>
          <w:szCs w:val="28"/>
        </w:rPr>
        <w:t>,</w:t>
      </w:r>
      <w:r w:rsidR="00756D17">
        <w:rPr>
          <w:rFonts w:ascii="Times New Roman" w:hAnsi="Times New Roman" w:cs="Times New Roman"/>
          <w:color w:val="000000"/>
          <w:sz w:val="28"/>
          <w:szCs w:val="28"/>
        </w:rPr>
        <w:t xml:space="preserve"> </w:t>
      </w:r>
      <w:r w:rsidR="00EF4A16" w:rsidRPr="00432D0D">
        <w:rPr>
          <w:rFonts w:ascii="Times New Roman" w:hAnsi="Times New Roman" w:cs="Times New Roman"/>
          <w:color w:val="000000"/>
          <w:sz w:val="28"/>
          <w:szCs w:val="28"/>
        </w:rPr>
        <w:t>обумовлює потребу у</w:t>
      </w:r>
      <w:r w:rsidR="00530FFD" w:rsidRPr="00432D0D">
        <w:rPr>
          <w:rFonts w:ascii="Times New Roman" w:hAnsi="Times New Roman" w:cs="Times New Roman"/>
          <w:color w:val="000000"/>
          <w:sz w:val="28"/>
          <w:szCs w:val="28"/>
        </w:rPr>
        <w:t xml:space="preserve"> розробці уніфікованого механізму </w:t>
      </w:r>
      <w:r w:rsidR="00905C32">
        <w:rPr>
          <w:rFonts w:ascii="Times New Roman" w:hAnsi="Times New Roman" w:cs="Times New Roman"/>
          <w:color w:val="000000"/>
          <w:sz w:val="28"/>
          <w:szCs w:val="28"/>
        </w:rPr>
        <w:t>розрахунку ліквідаційної вартості</w:t>
      </w:r>
      <w:r w:rsidR="00530FFD" w:rsidRPr="00432D0D">
        <w:rPr>
          <w:rFonts w:ascii="Times New Roman" w:hAnsi="Times New Roman" w:cs="Times New Roman"/>
          <w:color w:val="000000"/>
          <w:sz w:val="28"/>
          <w:szCs w:val="28"/>
        </w:rPr>
        <w:t>.</w:t>
      </w:r>
      <w:r w:rsidR="00B80BEA">
        <w:rPr>
          <w:rFonts w:ascii="Times New Roman" w:hAnsi="Times New Roman" w:cs="Times New Roman"/>
          <w:color w:val="000000"/>
          <w:sz w:val="28"/>
          <w:szCs w:val="28"/>
        </w:rPr>
        <w:t xml:space="preserve"> </w:t>
      </w:r>
    </w:p>
    <w:p w:rsidR="00694E01" w:rsidRDefault="00401DD8" w:rsidP="00B80BEA">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401DD8">
        <w:rPr>
          <w:rFonts w:ascii="Times New Roman" w:hAnsi="Times New Roman" w:cs="Times New Roman"/>
          <w:color w:val="000000"/>
          <w:sz w:val="28"/>
          <w:szCs w:val="28"/>
        </w:rPr>
        <w:t>Для аналізу факторів, що впливають на розмір</w:t>
      </w:r>
      <w:r>
        <w:rPr>
          <w:rFonts w:ascii="Times New Roman" w:hAnsi="Times New Roman" w:cs="Times New Roman"/>
          <w:color w:val="000000"/>
          <w:sz w:val="28"/>
          <w:szCs w:val="28"/>
        </w:rPr>
        <w:t xml:space="preserve"> коефіцієнта, який пов</w:t>
      </w:r>
      <w:r w:rsidRPr="00401DD8">
        <w:rPr>
          <w:rFonts w:ascii="Times New Roman" w:hAnsi="Times New Roman" w:cs="Times New Roman"/>
          <w:color w:val="000000"/>
          <w:sz w:val="28"/>
          <w:szCs w:val="28"/>
        </w:rPr>
        <w:t>’язує ринкову та ліквідаційн</w:t>
      </w:r>
      <w:r>
        <w:rPr>
          <w:rFonts w:ascii="Times New Roman" w:hAnsi="Times New Roman" w:cs="Times New Roman"/>
          <w:color w:val="000000"/>
          <w:sz w:val="28"/>
          <w:szCs w:val="28"/>
        </w:rPr>
        <w:t>у</w:t>
      </w:r>
      <w:r w:rsidRPr="00401DD8">
        <w:rPr>
          <w:rFonts w:ascii="Times New Roman" w:hAnsi="Times New Roman" w:cs="Times New Roman"/>
          <w:color w:val="000000"/>
          <w:sz w:val="28"/>
          <w:szCs w:val="28"/>
        </w:rPr>
        <w:t xml:space="preserve"> вартості</w:t>
      </w:r>
      <w:r>
        <w:rPr>
          <w:rFonts w:ascii="Times New Roman" w:hAnsi="Times New Roman" w:cs="Times New Roman"/>
          <w:color w:val="000000"/>
          <w:sz w:val="28"/>
          <w:szCs w:val="28"/>
        </w:rPr>
        <w:t>,</w:t>
      </w:r>
      <w:r w:rsidRPr="00401DD8">
        <w:rPr>
          <w:rFonts w:ascii="Times New Roman" w:hAnsi="Times New Roman" w:cs="Times New Roman"/>
          <w:color w:val="000000"/>
          <w:sz w:val="28"/>
          <w:szCs w:val="28"/>
        </w:rPr>
        <w:t xml:space="preserve"> наведемо визначення ц</w:t>
      </w:r>
      <w:r>
        <w:rPr>
          <w:rFonts w:ascii="Times New Roman" w:hAnsi="Times New Roman" w:cs="Times New Roman"/>
          <w:color w:val="000000"/>
          <w:sz w:val="28"/>
          <w:szCs w:val="28"/>
        </w:rPr>
        <w:t>их</w:t>
      </w:r>
      <w:r w:rsidRPr="00401DD8">
        <w:rPr>
          <w:rFonts w:ascii="Times New Roman" w:hAnsi="Times New Roman" w:cs="Times New Roman"/>
          <w:color w:val="000000"/>
          <w:sz w:val="28"/>
          <w:szCs w:val="28"/>
        </w:rPr>
        <w:t xml:space="preserve"> понят</w:t>
      </w:r>
      <w:r>
        <w:rPr>
          <w:rFonts w:ascii="Times New Roman" w:hAnsi="Times New Roman" w:cs="Times New Roman"/>
          <w:color w:val="000000"/>
          <w:sz w:val="28"/>
          <w:szCs w:val="28"/>
        </w:rPr>
        <w:t>ь відповідно до законодавства</w:t>
      </w:r>
      <w:r w:rsidRPr="00401DD8">
        <w:rPr>
          <w:rFonts w:ascii="Times New Roman" w:hAnsi="Times New Roman" w:cs="Times New Roman"/>
          <w:color w:val="000000"/>
          <w:sz w:val="28"/>
          <w:szCs w:val="28"/>
          <w:lang w:val="ru-RU"/>
        </w:rPr>
        <w:t xml:space="preserve"> [1]</w:t>
      </w:r>
      <w:r w:rsidRPr="00401DD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05C32" w:rsidRPr="00905C32">
        <w:rPr>
          <w:rFonts w:ascii="Times New Roman" w:hAnsi="Times New Roman" w:cs="Times New Roman"/>
          <w:color w:val="000000"/>
          <w:sz w:val="28"/>
          <w:szCs w:val="28"/>
        </w:rPr>
        <w:t>Ліквідаційна вартість — вартість, яка може бути отримана за умови продажу об’єкта оцінки у строк, що є значно коротшим від строку експозиції подібного майна, протягом якого воно може бути продане за ціною, яка дорівнює ринковій вартості</w:t>
      </w:r>
      <w:r w:rsidR="00905C32">
        <w:rPr>
          <w:rFonts w:ascii="Times New Roman" w:hAnsi="Times New Roman" w:cs="Times New Roman"/>
          <w:color w:val="000000"/>
          <w:sz w:val="28"/>
          <w:szCs w:val="28"/>
        </w:rPr>
        <w:t>.</w:t>
      </w:r>
      <w:r w:rsidRPr="00401DD8">
        <w:rPr>
          <w:rFonts w:ascii="Times New Roman" w:hAnsi="Times New Roman" w:cs="Times New Roman"/>
          <w:color w:val="000000"/>
          <w:sz w:val="28"/>
          <w:szCs w:val="28"/>
          <w:lang w:val="ru-RU"/>
        </w:rPr>
        <w:t xml:space="preserve"> </w:t>
      </w:r>
      <w:r w:rsidR="00E34A26" w:rsidRPr="00401DD8">
        <w:rPr>
          <w:rFonts w:ascii="Times New Roman" w:hAnsi="Times New Roman" w:cs="Times New Roman"/>
          <w:color w:val="000000"/>
          <w:sz w:val="28"/>
          <w:szCs w:val="28"/>
        </w:rPr>
        <w:t>Ринкова вартість</w:t>
      </w:r>
      <w:r w:rsidR="00E34A26" w:rsidRPr="00E34A26">
        <w:rPr>
          <w:rFonts w:ascii="Times New Roman" w:hAnsi="Times New Roman" w:cs="Times New Roman"/>
          <w:color w:val="000000"/>
          <w:sz w:val="28"/>
          <w:szCs w:val="28"/>
          <w:lang w:val="ru-RU"/>
        </w:rPr>
        <w:t> </w:t>
      </w:r>
      <w:r w:rsidR="00E34A26" w:rsidRPr="00401DD8">
        <w:rPr>
          <w:rFonts w:ascii="Times New Roman" w:hAnsi="Times New Roman" w:cs="Times New Roman"/>
          <w:color w:val="000000"/>
          <w:sz w:val="28"/>
          <w:szCs w:val="28"/>
        </w:rPr>
        <w:t xml:space="preserve">— вартість, за яку можливе відчуження об’єкта оцінки на ринку подібного майна на дату оцінки за угодою, укладеною між покупцем та продавцем, після проведення відповідного маркетингу за умови, що кожна із сторін діяла із знанням справи, розсудливо і без примусу. </w:t>
      </w:r>
      <w:r w:rsidR="008C01B3" w:rsidRPr="00387D4D">
        <w:rPr>
          <w:rFonts w:ascii="Times New Roman" w:hAnsi="Times New Roman" w:cs="Times New Roman"/>
          <w:color w:val="000000"/>
          <w:sz w:val="28"/>
          <w:szCs w:val="28"/>
        </w:rPr>
        <w:t>Проведення відповідного маркетингу,  зокрема, обумовлює строк</w:t>
      </w:r>
      <w:r w:rsidR="00734EB6" w:rsidRPr="00387D4D">
        <w:rPr>
          <w:rFonts w:ascii="Times New Roman" w:hAnsi="Times New Roman" w:cs="Times New Roman"/>
          <w:color w:val="000000"/>
          <w:sz w:val="28"/>
          <w:szCs w:val="28"/>
        </w:rPr>
        <w:t xml:space="preserve"> експозиції</w:t>
      </w:r>
      <w:r w:rsidR="008C01B3" w:rsidRPr="00387D4D">
        <w:rPr>
          <w:rFonts w:ascii="Times New Roman" w:hAnsi="Times New Roman" w:cs="Times New Roman"/>
          <w:color w:val="000000"/>
          <w:sz w:val="28"/>
          <w:szCs w:val="28"/>
        </w:rPr>
        <w:t xml:space="preserve">, протягом якого об'єкт оцінки може бути виставлений для продажу на ринку з метою забезпечення його відчуження за найвищою ціною і тривалість якого залежить від співвідношення попиту та пропонування на подібне майно, кількості потенційних покупців, їх купівельної спроможності та інших факторів. </w:t>
      </w:r>
      <w:r w:rsidR="00A97F07" w:rsidRPr="00387D4D">
        <w:rPr>
          <w:rFonts w:ascii="Times New Roman" w:hAnsi="Times New Roman" w:cs="Times New Roman"/>
          <w:color w:val="000000"/>
          <w:sz w:val="28"/>
          <w:szCs w:val="28"/>
        </w:rPr>
        <w:t xml:space="preserve">Тобто, в умовах ринкової економіки, на дату оцінки встановлюється рівень ціни (діапазон ринкової ціни), що </w:t>
      </w:r>
      <w:r w:rsidR="00483DD1" w:rsidRPr="00387D4D">
        <w:rPr>
          <w:rFonts w:ascii="Times New Roman" w:hAnsi="Times New Roman" w:cs="Times New Roman"/>
          <w:color w:val="000000"/>
          <w:sz w:val="28"/>
          <w:szCs w:val="28"/>
        </w:rPr>
        <w:t xml:space="preserve">відповідає </w:t>
      </w:r>
      <w:r w:rsidR="00A97F07" w:rsidRPr="00387D4D">
        <w:rPr>
          <w:rFonts w:ascii="Times New Roman" w:hAnsi="Times New Roman" w:cs="Times New Roman"/>
          <w:color w:val="000000"/>
          <w:sz w:val="28"/>
          <w:szCs w:val="28"/>
        </w:rPr>
        <w:t>період</w:t>
      </w:r>
      <w:r w:rsidR="00483DD1" w:rsidRPr="00387D4D">
        <w:rPr>
          <w:rFonts w:ascii="Times New Roman" w:hAnsi="Times New Roman" w:cs="Times New Roman"/>
          <w:color w:val="000000"/>
          <w:sz w:val="28"/>
          <w:szCs w:val="28"/>
        </w:rPr>
        <w:t>у</w:t>
      </w:r>
      <w:r w:rsidR="00A97F07" w:rsidRPr="00387D4D">
        <w:rPr>
          <w:rFonts w:ascii="Times New Roman" w:hAnsi="Times New Roman" w:cs="Times New Roman"/>
          <w:color w:val="000000"/>
          <w:sz w:val="28"/>
          <w:szCs w:val="28"/>
        </w:rPr>
        <w:t xml:space="preserve"> </w:t>
      </w:r>
      <w:r w:rsidR="00A97F07" w:rsidRPr="00387D4D">
        <w:rPr>
          <w:rFonts w:ascii="Times New Roman" w:hAnsi="Times New Roman" w:cs="Times New Roman"/>
          <w:color w:val="000000"/>
          <w:sz w:val="28"/>
          <w:szCs w:val="28"/>
        </w:rPr>
        <w:lastRenderedPageBreak/>
        <w:t xml:space="preserve">експозиції </w:t>
      </w:r>
      <w:r w:rsidR="00483DD1" w:rsidRPr="00387D4D">
        <w:rPr>
          <w:rFonts w:ascii="Times New Roman" w:hAnsi="Times New Roman" w:cs="Times New Roman"/>
          <w:color w:val="000000"/>
          <w:sz w:val="28"/>
          <w:szCs w:val="28"/>
        </w:rPr>
        <w:t xml:space="preserve">цього </w:t>
      </w:r>
      <w:r w:rsidR="009E6E99">
        <w:rPr>
          <w:rFonts w:ascii="Times New Roman" w:hAnsi="Times New Roman" w:cs="Times New Roman"/>
          <w:color w:val="000000"/>
          <w:sz w:val="28"/>
          <w:szCs w:val="28"/>
        </w:rPr>
        <w:t>активу</w:t>
      </w:r>
      <w:r w:rsidR="00680F6D" w:rsidRPr="00387D4D">
        <w:rPr>
          <w:rFonts w:ascii="Times New Roman" w:hAnsi="Times New Roman" w:cs="Times New Roman"/>
          <w:color w:val="000000"/>
          <w:sz w:val="28"/>
          <w:szCs w:val="28"/>
        </w:rPr>
        <w:t xml:space="preserve">, щільності взаємозв’язку між попитом та пропозицією та загальній дохідності ринку </w:t>
      </w:r>
      <w:r w:rsidR="00A73376" w:rsidRPr="00387D4D">
        <w:rPr>
          <w:rFonts w:ascii="Times New Roman" w:hAnsi="Times New Roman" w:cs="Times New Roman"/>
          <w:color w:val="000000"/>
          <w:sz w:val="28"/>
          <w:szCs w:val="28"/>
        </w:rPr>
        <w:t>певного активу</w:t>
      </w:r>
      <w:r w:rsidR="00680F6D" w:rsidRPr="00387D4D">
        <w:rPr>
          <w:rFonts w:ascii="Times New Roman" w:hAnsi="Times New Roman" w:cs="Times New Roman"/>
          <w:color w:val="000000"/>
          <w:sz w:val="28"/>
          <w:szCs w:val="28"/>
        </w:rPr>
        <w:t xml:space="preserve"> (поточні грошові надходження та зміна вартості</w:t>
      </w:r>
      <w:r w:rsidR="00A73376" w:rsidRPr="00387D4D">
        <w:rPr>
          <w:rFonts w:ascii="Times New Roman" w:hAnsi="Times New Roman" w:cs="Times New Roman"/>
          <w:color w:val="000000"/>
          <w:sz w:val="28"/>
          <w:szCs w:val="28"/>
        </w:rPr>
        <w:t xml:space="preserve"> активу</w:t>
      </w:r>
      <w:r w:rsidR="00680F6D" w:rsidRPr="00387D4D">
        <w:rPr>
          <w:rFonts w:ascii="Times New Roman" w:hAnsi="Times New Roman" w:cs="Times New Roman"/>
          <w:color w:val="000000"/>
          <w:sz w:val="28"/>
          <w:szCs w:val="28"/>
        </w:rPr>
        <w:t>)</w:t>
      </w:r>
      <w:r w:rsidR="00483DD1" w:rsidRPr="00387D4D">
        <w:rPr>
          <w:rFonts w:ascii="Times New Roman" w:hAnsi="Times New Roman" w:cs="Times New Roman"/>
          <w:color w:val="000000"/>
          <w:sz w:val="28"/>
          <w:szCs w:val="28"/>
        </w:rPr>
        <w:t xml:space="preserve">. </w:t>
      </w:r>
      <w:r w:rsidR="00694E01">
        <w:rPr>
          <w:rFonts w:ascii="Times New Roman" w:hAnsi="Times New Roman" w:cs="Times New Roman"/>
          <w:color w:val="000000"/>
          <w:sz w:val="28"/>
          <w:szCs w:val="28"/>
          <w:lang w:val="ru-RU"/>
        </w:rPr>
        <w:t xml:space="preserve">Таким чином, </w:t>
      </w:r>
      <w:proofErr w:type="spellStart"/>
      <w:r w:rsidR="00694E01">
        <w:rPr>
          <w:rFonts w:ascii="Times New Roman" w:hAnsi="Times New Roman" w:cs="Times New Roman"/>
          <w:color w:val="000000"/>
          <w:sz w:val="28"/>
          <w:szCs w:val="28"/>
          <w:lang w:val="ru-RU"/>
        </w:rPr>
        <w:t>визначення</w:t>
      </w:r>
      <w:proofErr w:type="spellEnd"/>
      <w:r w:rsidR="00694E01">
        <w:rPr>
          <w:rFonts w:ascii="Times New Roman" w:hAnsi="Times New Roman" w:cs="Times New Roman"/>
          <w:color w:val="000000"/>
          <w:sz w:val="28"/>
          <w:szCs w:val="28"/>
          <w:lang w:val="ru-RU"/>
        </w:rPr>
        <w:t xml:space="preserve"> </w:t>
      </w:r>
      <w:r w:rsidR="00387D4D">
        <w:rPr>
          <w:rFonts w:ascii="Times New Roman" w:hAnsi="Times New Roman" w:cs="Times New Roman"/>
          <w:color w:val="000000"/>
          <w:sz w:val="28"/>
          <w:szCs w:val="28"/>
          <w:lang w:val="ru-RU"/>
        </w:rPr>
        <w:t xml:space="preserve"> </w:t>
      </w:r>
      <w:proofErr w:type="spellStart"/>
      <w:r w:rsidR="00387D4D">
        <w:rPr>
          <w:rFonts w:ascii="Times New Roman" w:hAnsi="Times New Roman" w:cs="Times New Roman"/>
          <w:color w:val="000000"/>
          <w:sz w:val="28"/>
          <w:szCs w:val="28"/>
          <w:lang w:val="ru-RU"/>
        </w:rPr>
        <w:t>ліквідаційної</w:t>
      </w:r>
      <w:proofErr w:type="spellEnd"/>
      <w:r w:rsidR="00387D4D">
        <w:rPr>
          <w:rFonts w:ascii="Times New Roman" w:hAnsi="Times New Roman" w:cs="Times New Roman"/>
          <w:color w:val="000000"/>
          <w:sz w:val="28"/>
          <w:szCs w:val="28"/>
          <w:lang w:val="ru-RU"/>
        </w:rPr>
        <w:t xml:space="preserve">  </w:t>
      </w:r>
      <w:proofErr w:type="spellStart"/>
      <w:r w:rsidR="00694E01">
        <w:rPr>
          <w:rFonts w:ascii="Times New Roman" w:hAnsi="Times New Roman" w:cs="Times New Roman"/>
          <w:color w:val="000000"/>
          <w:sz w:val="28"/>
          <w:szCs w:val="28"/>
          <w:lang w:val="ru-RU"/>
        </w:rPr>
        <w:t>вартості</w:t>
      </w:r>
      <w:proofErr w:type="spellEnd"/>
      <w:r w:rsidR="00694E01">
        <w:rPr>
          <w:rFonts w:ascii="Times New Roman" w:hAnsi="Times New Roman" w:cs="Times New Roman"/>
          <w:color w:val="000000"/>
          <w:sz w:val="28"/>
          <w:szCs w:val="28"/>
          <w:lang w:val="ru-RU"/>
        </w:rPr>
        <w:t xml:space="preserve"> об</w:t>
      </w:r>
      <w:r w:rsidR="00694E01" w:rsidRPr="00694E01">
        <w:rPr>
          <w:rFonts w:ascii="Times New Roman" w:hAnsi="Times New Roman" w:cs="Times New Roman"/>
          <w:color w:val="000000"/>
          <w:sz w:val="28"/>
          <w:szCs w:val="28"/>
          <w:lang w:val="ru-RU"/>
        </w:rPr>
        <w:t>’</w:t>
      </w:r>
      <w:proofErr w:type="spellStart"/>
      <w:r w:rsidR="00694E01">
        <w:rPr>
          <w:rFonts w:ascii="Times New Roman" w:hAnsi="Times New Roman" w:cs="Times New Roman"/>
          <w:color w:val="000000"/>
          <w:sz w:val="28"/>
          <w:szCs w:val="28"/>
        </w:rPr>
        <w:t>єкта</w:t>
      </w:r>
      <w:proofErr w:type="spellEnd"/>
      <w:r w:rsidR="00694E01">
        <w:rPr>
          <w:rFonts w:ascii="Times New Roman" w:hAnsi="Times New Roman" w:cs="Times New Roman"/>
          <w:color w:val="000000"/>
          <w:sz w:val="28"/>
          <w:szCs w:val="28"/>
        </w:rPr>
        <w:t xml:space="preserve"> оцінки </w:t>
      </w:r>
      <w:proofErr w:type="spellStart"/>
      <w:r w:rsidR="00694E01">
        <w:rPr>
          <w:rFonts w:ascii="Times New Roman" w:hAnsi="Times New Roman" w:cs="Times New Roman"/>
          <w:color w:val="000000"/>
          <w:sz w:val="28"/>
          <w:szCs w:val="28"/>
        </w:rPr>
        <w:t>пов</w:t>
      </w:r>
      <w:proofErr w:type="spellEnd"/>
      <w:r w:rsidR="00694E01" w:rsidRPr="00694E01">
        <w:rPr>
          <w:rFonts w:ascii="Times New Roman" w:hAnsi="Times New Roman" w:cs="Times New Roman"/>
          <w:color w:val="000000"/>
          <w:sz w:val="28"/>
          <w:szCs w:val="28"/>
          <w:lang w:val="ru-RU"/>
        </w:rPr>
        <w:t>’</w:t>
      </w:r>
      <w:proofErr w:type="spellStart"/>
      <w:r w:rsidR="00694E01">
        <w:rPr>
          <w:rFonts w:ascii="Times New Roman" w:hAnsi="Times New Roman" w:cs="Times New Roman"/>
          <w:color w:val="000000"/>
          <w:sz w:val="28"/>
          <w:szCs w:val="28"/>
        </w:rPr>
        <w:t>язане</w:t>
      </w:r>
      <w:proofErr w:type="spellEnd"/>
      <w:r w:rsidR="00694E01">
        <w:rPr>
          <w:rFonts w:ascii="Times New Roman" w:hAnsi="Times New Roman" w:cs="Times New Roman"/>
          <w:color w:val="000000"/>
          <w:sz w:val="28"/>
          <w:szCs w:val="28"/>
        </w:rPr>
        <w:t xml:space="preserve"> з аналізом </w:t>
      </w:r>
      <w:r w:rsidR="00D1273B">
        <w:rPr>
          <w:rFonts w:ascii="Times New Roman" w:hAnsi="Times New Roman" w:cs="Times New Roman"/>
          <w:color w:val="000000"/>
          <w:sz w:val="28"/>
          <w:szCs w:val="28"/>
        </w:rPr>
        <w:t>наступних</w:t>
      </w:r>
      <w:r w:rsidR="00694E01">
        <w:rPr>
          <w:rFonts w:ascii="Times New Roman" w:hAnsi="Times New Roman" w:cs="Times New Roman"/>
          <w:color w:val="000000"/>
          <w:sz w:val="28"/>
          <w:szCs w:val="28"/>
        </w:rPr>
        <w:t xml:space="preserve"> основних факторі</w:t>
      </w:r>
      <w:proofErr w:type="gramStart"/>
      <w:r w:rsidR="00694E01">
        <w:rPr>
          <w:rFonts w:ascii="Times New Roman" w:hAnsi="Times New Roman" w:cs="Times New Roman"/>
          <w:color w:val="000000"/>
          <w:sz w:val="28"/>
          <w:szCs w:val="28"/>
        </w:rPr>
        <w:t>в</w:t>
      </w:r>
      <w:proofErr w:type="gramEnd"/>
      <w:r w:rsidR="00694E01">
        <w:rPr>
          <w:rFonts w:ascii="Times New Roman" w:hAnsi="Times New Roman" w:cs="Times New Roman"/>
          <w:color w:val="000000"/>
          <w:sz w:val="28"/>
          <w:szCs w:val="28"/>
        </w:rPr>
        <w:t>:</w:t>
      </w:r>
    </w:p>
    <w:p w:rsidR="00694E01" w:rsidRDefault="00387D4D" w:rsidP="00694E01">
      <w:pPr>
        <w:pStyle w:val="a6"/>
        <w:numPr>
          <w:ilvl w:val="0"/>
          <w:numId w:val="9"/>
        </w:num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ринкової вартості</w:t>
      </w:r>
      <w:r w:rsidR="00694E01">
        <w:rPr>
          <w:rFonts w:ascii="Times New Roman" w:hAnsi="Times New Roman" w:cs="Times New Roman"/>
          <w:color w:val="000000"/>
          <w:sz w:val="28"/>
          <w:szCs w:val="28"/>
        </w:rPr>
        <w:t>;</w:t>
      </w:r>
    </w:p>
    <w:p w:rsidR="006C5803" w:rsidRDefault="00694E01" w:rsidP="00694E01">
      <w:pPr>
        <w:pStyle w:val="a6"/>
        <w:numPr>
          <w:ilvl w:val="0"/>
          <w:numId w:val="9"/>
        </w:num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строку експозиції цих об</w:t>
      </w:r>
      <w:r>
        <w:rPr>
          <w:rFonts w:ascii="Times New Roman" w:hAnsi="Times New Roman" w:cs="Times New Roman"/>
          <w:color w:val="000000"/>
          <w:sz w:val="28"/>
          <w:szCs w:val="28"/>
          <w:lang w:val="en-US"/>
        </w:rPr>
        <w:t>’</w:t>
      </w:r>
      <w:proofErr w:type="spellStart"/>
      <w:r w:rsidR="006C5803">
        <w:rPr>
          <w:rFonts w:ascii="Times New Roman" w:hAnsi="Times New Roman" w:cs="Times New Roman"/>
          <w:color w:val="000000"/>
          <w:sz w:val="28"/>
          <w:szCs w:val="28"/>
        </w:rPr>
        <w:t>єктів</w:t>
      </w:r>
      <w:proofErr w:type="spellEnd"/>
      <w:r w:rsidR="006C5803">
        <w:rPr>
          <w:rFonts w:ascii="Times New Roman" w:hAnsi="Times New Roman" w:cs="Times New Roman"/>
          <w:color w:val="000000"/>
          <w:sz w:val="28"/>
          <w:szCs w:val="28"/>
        </w:rPr>
        <w:t>;</w:t>
      </w:r>
    </w:p>
    <w:p w:rsidR="00D1273B" w:rsidRDefault="006C5803" w:rsidP="00694E01">
      <w:pPr>
        <w:pStyle w:val="a6"/>
        <w:numPr>
          <w:ilvl w:val="0"/>
          <w:numId w:val="9"/>
        </w:num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ставки дисконтування</w:t>
      </w:r>
      <w:r w:rsidR="00D1273B">
        <w:rPr>
          <w:rFonts w:ascii="Times New Roman" w:hAnsi="Times New Roman" w:cs="Times New Roman"/>
          <w:color w:val="000000"/>
          <w:sz w:val="28"/>
          <w:szCs w:val="28"/>
        </w:rPr>
        <w:t xml:space="preserve"> для оцінюван</w:t>
      </w:r>
      <w:r w:rsidR="00801BB7">
        <w:rPr>
          <w:rFonts w:ascii="Times New Roman" w:hAnsi="Times New Roman" w:cs="Times New Roman"/>
          <w:color w:val="000000"/>
          <w:sz w:val="28"/>
          <w:szCs w:val="28"/>
        </w:rPr>
        <w:t>их об</w:t>
      </w:r>
      <w:r w:rsidR="00801BB7" w:rsidRPr="00801BB7">
        <w:rPr>
          <w:rFonts w:ascii="Times New Roman" w:hAnsi="Times New Roman" w:cs="Times New Roman"/>
          <w:color w:val="000000"/>
          <w:sz w:val="28"/>
          <w:szCs w:val="28"/>
          <w:lang w:val="ru-RU"/>
        </w:rPr>
        <w:t>’</w:t>
      </w:r>
      <w:proofErr w:type="spellStart"/>
      <w:r w:rsidR="00801BB7">
        <w:rPr>
          <w:rFonts w:ascii="Times New Roman" w:hAnsi="Times New Roman" w:cs="Times New Roman"/>
          <w:color w:val="000000"/>
          <w:sz w:val="28"/>
          <w:szCs w:val="28"/>
        </w:rPr>
        <w:t>єктів</w:t>
      </w:r>
      <w:proofErr w:type="spellEnd"/>
      <w:r w:rsidR="00D1273B">
        <w:rPr>
          <w:rFonts w:ascii="Times New Roman" w:hAnsi="Times New Roman" w:cs="Times New Roman"/>
          <w:color w:val="000000"/>
          <w:sz w:val="28"/>
          <w:szCs w:val="28"/>
        </w:rPr>
        <w:t>;</w:t>
      </w:r>
    </w:p>
    <w:p w:rsidR="00D1273B" w:rsidRDefault="00D1273B" w:rsidP="00694E01">
      <w:pPr>
        <w:pStyle w:val="a6"/>
        <w:numPr>
          <w:ilvl w:val="0"/>
          <w:numId w:val="9"/>
        </w:num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коефіцієнт</w:t>
      </w:r>
      <w:r w:rsidR="00432D0D">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еластичності ринку.</w:t>
      </w:r>
    </w:p>
    <w:p w:rsidR="00557F73" w:rsidRDefault="00801BB7" w:rsidP="00D1273B">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чином, ліквідаційна вартість визначатиметься за формулою</w:t>
      </w:r>
      <w:r w:rsidR="00BB1AB8">
        <w:rPr>
          <w:rFonts w:ascii="Times New Roman" w:hAnsi="Times New Roman" w:cs="Times New Roman"/>
          <w:color w:val="000000"/>
          <w:sz w:val="28"/>
          <w:szCs w:val="28"/>
        </w:rPr>
        <w:t xml:space="preserve"> </w:t>
      </w:r>
      <w:r w:rsidR="0051496E" w:rsidRPr="00B332E7">
        <w:rPr>
          <w:rFonts w:ascii="Times New Roman" w:hAnsi="Times New Roman" w:cs="Times New Roman"/>
          <w:color w:val="000000"/>
          <w:sz w:val="28"/>
          <w:szCs w:val="28"/>
        </w:rPr>
        <w:t>[</w:t>
      </w:r>
      <w:r w:rsidR="00BB1AB8" w:rsidRPr="00B332E7">
        <w:rPr>
          <w:rFonts w:ascii="Times New Roman" w:hAnsi="Times New Roman" w:cs="Times New Roman"/>
          <w:color w:val="000000"/>
          <w:sz w:val="28"/>
          <w:szCs w:val="28"/>
        </w:rPr>
        <w:t>5</w:t>
      </w:r>
      <w:r w:rsidR="0051496E" w:rsidRPr="00B332E7">
        <w:rPr>
          <w:rFonts w:ascii="Times New Roman" w:hAnsi="Times New Roman" w:cs="Times New Roman"/>
          <w:color w:val="000000"/>
          <w:sz w:val="28"/>
          <w:szCs w:val="28"/>
        </w:rPr>
        <w:t>]</w:t>
      </w:r>
      <w:r w:rsidR="00557F73">
        <w:rPr>
          <w:rFonts w:ascii="Times New Roman" w:hAnsi="Times New Roman" w:cs="Times New Roman"/>
          <w:color w:val="000000"/>
          <w:sz w:val="28"/>
          <w:szCs w:val="28"/>
        </w:rPr>
        <w:t>:</w:t>
      </w:r>
    </w:p>
    <w:p w:rsidR="00694E01" w:rsidRDefault="00EB0C8E" w:rsidP="00D1273B">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В</m:t>
            </m:r>
          </m:e>
          <m:sub>
            <m:r>
              <w:rPr>
                <w:rFonts w:ascii="Cambria Math" w:hAnsi="Cambria Math" w:cs="Times New Roman"/>
                <w:color w:val="000000"/>
                <w:sz w:val="28"/>
                <w:szCs w:val="28"/>
              </w:rPr>
              <m:t>л</m:t>
            </m:r>
          </m:sub>
        </m:sSub>
        <m:r>
          <w:rPr>
            <w:rFonts w:ascii="Cambria Math" w:eastAsia="Cambria Math" w:hAnsi="Cambria Math" w:cs="Cambria Math"/>
            <w:color w:val="000000"/>
            <w:sz w:val="28"/>
            <w:szCs w:val="28"/>
          </w:rPr>
          <m:t>=</m:t>
        </m:r>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В</m:t>
            </m:r>
          </m:e>
          <m:sub>
            <m:r>
              <w:rPr>
                <w:rFonts w:ascii="Cambria Math" w:hAnsi="Cambria Math" w:cs="Times New Roman"/>
                <w:color w:val="000000"/>
                <w:sz w:val="28"/>
                <w:szCs w:val="28"/>
              </w:rPr>
              <m:t>р</m:t>
            </m:r>
          </m:sub>
        </m:sSub>
        <m:r>
          <m:rPr>
            <m:sty m:val="p"/>
          </m:rPr>
          <w:rPr>
            <w:rFonts w:ascii="Cambria Math" w:hAnsi="Cambria Math" w:cs="Times New Roman"/>
            <w:color w:val="000000"/>
            <w:sz w:val="28"/>
            <w:szCs w:val="28"/>
          </w:rPr>
          <m:t>∙</m:t>
        </m:r>
        <m:sSub>
          <m:sSubPr>
            <m:ctrlPr>
              <w:rPr>
                <w:rFonts w:ascii="Cambria Math" w:hAnsi="Cambria Math" w:cs="Times New Roman"/>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е</m:t>
            </m:r>
          </m:sub>
        </m:sSub>
        <m:r>
          <m:rPr>
            <m:sty m:val="p"/>
          </m:rPr>
          <w:rPr>
            <w:rFonts w:ascii="Cambria Math" w:hAnsi="Cambria Math" w:cs="Times New Roman"/>
            <w:color w:val="000000"/>
            <w:sz w:val="28"/>
            <w:szCs w:val="28"/>
          </w:rPr>
          <m:t>∙(</m:t>
        </m:r>
        <m:sSup>
          <m:sSupPr>
            <m:ctrlPr>
              <w:rPr>
                <w:rFonts w:ascii="Cambria Math" w:hAnsi="Cambria Math" w:cs="Times New Roman"/>
                <w:color w:val="000000"/>
                <w:sz w:val="28"/>
                <w:szCs w:val="28"/>
              </w:rPr>
            </m:ctrlPr>
          </m:sSupPr>
          <m:e>
            <m:f>
              <m:fPr>
                <m:ctrlPr>
                  <w:rPr>
                    <w:rFonts w:ascii="Cambria Math" w:hAnsi="Cambria Math" w:cs="Times New Roman"/>
                    <w:i/>
                    <w:color w:val="000000"/>
                    <w:sz w:val="28"/>
                    <w:szCs w:val="28"/>
                  </w:rPr>
                </m:ctrlPr>
              </m:fPr>
              <m:num>
                <m:r>
                  <w:rPr>
                    <w:rFonts w:ascii="Cambria Math" w:hAnsi="Cambria Math" w:cs="Times New Roman"/>
                    <w:color w:val="000000"/>
                    <w:sz w:val="28"/>
                    <w:szCs w:val="28"/>
                  </w:rPr>
                  <m:t>1</m:t>
                </m:r>
              </m:num>
              <m:den>
                <m:r>
                  <w:rPr>
                    <w:rFonts w:ascii="Cambria Math" w:hAnsi="Cambria Math" w:cs="Times New Roman"/>
                    <w:color w:val="000000"/>
                    <w:sz w:val="28"/>
                    <w:szCs w:val="28"/>
                  </w:rPr>
                  <m:t>1+</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С</m:t>
                    </m:r>
                  </m:e>
                  <m:sub>
                    <m:r>
                      <w:rPr>
                        <w:rFonts w:ascii="Cambria Math" w:hAnsi="Cambria Math" w:cs="Times New Roman"/>
                        <w:color w:val="000000"/>
                        <w:sz w:val="28"/>
                        <w:szCs w:val="28"/>
                      </w:rPr>
                      <m:t>д</m:t>
                    </m:r>
                  </m:sub>
                </m:sSub>
              </m:den>
            </m:f>
            <m:r>
              <w:rPr>
                <w:rFonts w:ascii="Cambria Math" w:hAnsi="Cambria Math" w:cs="Times New Roman"/>
                <w:color w:val="000000"/>
                <w:sz w:val="28"/>
                <w:szCs w:val="28"/>
              </w:rPr>
              <m:t>)</m:t>
            </m:r>
          </m:e>
          <m:sup>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Т</m:t>
                </m:r>
              </m:e>
              <m:sub>
                <m:r>
                  <w:rPr>
                    <w:rFonts w:ascii="Cambria Math" w:hAnsi="Cambria Math" w:cs="Times New Roman"/>
                    <w:color w:val="000000"/>
                    <w:sz w:val="28"/>
                    <w:szCs w:val="28"/>
                  </w:rPr>
                  <m:t>екс</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Т</m:t>
                </m:r>
              </m:e>
              <m:sub>
                <m:r>
                  <w:rPr>
                    <w:rFonts w:ascii="Cambria Math" w:hAnsi="Cambria Math" w:cs="Times New Roman"/>
                    <w:color w:val="000000"/>
                    <w:sz w:val="28"/>
                    <w:szCs w:val="28"/>
                  </w:rPr>
                  <m:t>ф</m:t>
                </m:r>
              </m:sub>
            </m:sSub>
          </m:sup>
        </m:sSup>
      </m:oMath>
      <w:r w:rsidR="00D1273B">
        <w:rPr>
          <w:rFonts w:ascii="Times New Roman" w:hAnsi="Times New Roman" w:cs="Times New Roman"/>
          <w:color w:val="000000"/>
          <w:sz w:val="28"/>
          <w:szCs w:val="28"/>
        </w:rPr>
        <w:t xml:space="preserve"> </w:t>
      </w:r>
      <w:r w:rsidR="00694E01" w:rsidRPr="00D1273B">
        <w:rPr>
          <w:rFonts w:ascii="Times New Roman" w:hAnsi="Times New Roman" w:cs="Times New Roman"/>
          <w:color w:val="000000"/>
          <w:sz w:val="28"/>
          <w:szCs w:val="28"/>
        </w:rPr>
        <w:t xml:space="preserve"> </w:t>
      </w:r>
      <w:r w:rsidR="00557F73">
        <w:rPr>
          <w:rFonts w:ascii="Times New Roman" w:hAnsi="Times New Roman" w:cs="Times New Roman"/>
          <w:color w:val="000000"/>
          <w:sz w:val="28"/>
          <w:szCs w:val="28"/>
        </w:rPr>
        <w:t>,</w:t>
      </w:r>
    </w:p>
    <w:p w:rsidR="00C201BE" w:rsidRDefault="00557F73" w:rsidP="009E6E99">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 </w:t>
      </w:r>
      <w:proofErr w:type="spellStart"/>
      <w:r w:rsidR="00801BB7">
        <w:rPr>
          <w:rFonts w:ascii="Times New Roman" w:hAnsi="Times New Roman" w:cs="Times New Roman"/>
          <w:color w:val="000000"/>
          <w:sz w:val="28"/>
          <w:szCs w:val="28"/>
        </w:rPr>
        <w:t>В</w:t>
      </w:r>
      <w:r w:rsidR="00801BB7" w:rsidRPr="00801BB7">
        <w:rPr>
          <w:rFonts w:ascii="Times New Roman" w:hAnsi="Times New Roman" w:cs="Times New Roman"/>
          <w:color w:val="000000"/>
          <w:sz w:val="28"/>
          <w:szCs w:val="28"/>
          <w:vertAlign w:val="subscript"/>
        </w:rPr>
        <w:t>л</w:t>
      </w:r>
      <w:proofErr w:type="spellEnd"/>
      <w:r>
        <w:rPr>
          <w:rFonts w:ascii="Times New Roman" w:hAnsi="Times New Roman" w:cs="Times New Roman"/>
          <w:color w:val="000000"/>
          <w:sz w:val="28"/>
          <w:szCs w:val="28"/>
        </w:rPr>
        <w:t xml:space="preserve"> – </w:t>
      </w:r>
      <w:r w:rsidR="00801BB7">
        <w:rPr>
          <w:rFonts w:ascii="Times New Roman" w:hAnsi="Times New Roman" w:cs="Times New Roman"/>
          <w:color w:val="000000"/>
          <w:sz w:val="28"/>
          <w:szCs w:val="28"/>
        </w:rPr>
        <w:t>ліквідаційна вартість</w:t>
      </w:r>
      <w:r>
        <w:rPr>
          <w:rFonts w:ascii="Times New Roman" w:hAnsi="Times New Roman" w:cs="Times New Roman"/>
          <w:color w:val="000000"/>
          <w:sz w:val="28"/>
          <w:szCs w:val="28"/>
        </w:rPr>
        <w:t xml:space="preserve">, </w:t>
      </w:r>
      <w:proofErr w:type="spellStart"/>
      <w:r w:rsidR="00801BB7">
        <w:rPr>
          <w:rFonts w:ascii="Times New Roman" w:hAnsi="Times New Roman" w:cs="Times New Roman"/>
          <w:color w:val="000000"/>
          <w:sz w:val="28"/>
          <w:szCs w:val="28"/>
        </w:rPr>
        <w:t>В</w:t>
      </w:r>
      <w:r w:rsidRPr="00557F73">
        <w:rPr>
          <w:rFonts w:ascii="Times New Roman" w:hAnsi="Times New Roman" w:cs="Times New Roman"/>
          <w:color w:val="000000"/>
          <w:sz w:val="28"/>
          <w:szCs w:val="28"/>
          <w:vertAlign w:val="subscript"/>
        </w:rPr>
        <w:t>р</w:t>
      </w:r>
      <w:proofErr w:type="spellEnd"/>
      <w:r>
        <w:rPr>
          <w:rFonts w:ascii="Times New Roman" w:hAnsi="Times New Roman" w:cs="Times New Roman"/>
          <w:color w:val="000000"/>
          <w:sz w:val="28"/>
          <w:szCs w:val="28"/>
        </w:rPr>
        <w:t xml:space="preserve"> – </w:t>
      </w:r>
      <w:r w:rsidR="00801BB7">
        <w:rPr>
          <w:rFonts w:ascii="Times New Roman" w:hAnsi="Times New Roman" w:cs="Times New Roman"/>
          <w:color w:val="000000"/>
          <w:sz w:val="28"/>
          <w:szCs w:val="28"/>
        </w:rPr>
        <w:t>ринкова вартість</w:t>
      </w:r>
      <w:r>
        <w:rPr>
          <w:rFonts w:ascii="Times New Roman" w:hAnsi="Times New Roman" w:cs="Times New Roman"/>
          <w:color w:val="000000"/>
          <w:sz w:val="28"/>
          <w:szCs w:val="28"/>
        </w:rPr>
        <w:t>, К</w:t>
      </w:r>
      <w:r w:rsidRPr="00557F73">
        <w:rPr>
          <w:rFonts w:ascii="Times New Roman" w:hAnsi="Times New Roman" w:cs="Times New Roman"/>
          <w:color w:val="000000"/>
          <w:sz w:val="28"/>
          <w:szCs w:val="28"/>
          <w:vertAlign w:val="subscript"/>
        </w:rPr>
        <w:t>е</w:t>
      </w:r>
      <w:r>
        <w:rPr>
          <w:rFonts w:ascii="Times New Roman" w:hAnsi="Times New Roman" w:cs="Times New Roman"/>
          <w:color w:val="000000"/>
          <w:sz w:val="28"/>
          <w:szCs w:val="28"/>
        </w:rPr>
        <w:t xml:space="preserve"> – коефіцієнт еластичності</w:t>
      </w:r>
      <w:r w:rsidR="00801BB7">
        <w:rPr>
          <w:rFonts w:ascii="Times New Roman" w:hAnsi="Times New Roman" w:cs="Times New Roman"/>
          <w:color w:val="000000"/>
          <w:sz w:val="28"/>
          <w:szCs w:val="28"/>
        </w:rPr>
        <w:t xml:space="preserve"> попиту за ціною</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w:t>
      </w:r>
      <w:r w:rsidRPr="00557F73">
        <w:rPr>
          <w:rFonts w:ascii="Times New Roman" w:hAnsi="Times New Roman" w:cs="Times New Roman"/>
          <w:color w:val="000000"/>
          <w:sz w:val="28"/>
          <w:szCs w:val="28"/>
          <w:vertAlign w:val="subscript"/>
        </w:rPr>
        <w:t>д</w:t>
      </w:r>
      <w:proofErr w:type="spellEnd"/>
      <w:r>
        <w:rPr>
          <w:rFonts w:ascii="Times New Roman" w:hAnsi="Times New Roman" w:cs="Times New Roman"/>
          <w:color w:val="000000"/>
          <w:sz w:val="28"/>
          <w:szCs w:val="28"/>
        </w:rPr>
        <w:t xml:space="preserve"> – ставка дисконтування (</w:t>
      </w:r>
      <w:r w:rsidR="00A71F0F">
        <w:rPr>
          <w:rFonts w:ascii="Times New Roman" w:hAnsi="Times New Roman" w:cs="Times New Roman"/>
          <w:color w:val="000000"/>
          <w:sz w:val="28"/>
          <w:szCs w:val="28"/>
        </w:rPr>
        <w:t>середня ринкова вартість кредитних ресурсів</w:t>
      </w:r>
      <w:r>
        <w:rPr>
          <w:rFonts w:ascii="Times New Roman" w:hAnsi="Times New Roman" w:cs="Times New Roman"/>
          <w:color w:val="000000"/>
          <w:sz w:val="28"/>
          <w:szCs w:val="28"/>
        </w:rPr>
        <w:t>)</w:t>
      </w:r>
      <w:r w:rsidR="00FD07E7">
        <w:rPr>
          <w:rFonts w:ascii="Times New Roman" w:hAnsi="Times New Roman" w:cs="Times New Roman"/>
          <w:color w:val="000000"/>
          <w:sz w:val="28"/>
          <w:szCs w:val="28"/>
        </w:rPr>
        <w:t>, Т</w:t>
      </w:r>
      <w:r w:rsidR="00FD07E7" w:rsidRPr="00FD07E7">
        <w:rPr>
          <w:rFonts w:ascii="Times New Roman" w:hAnsi="Times New Roman" w:cs="Times New Roman"/>
          <w:color w:val="000000"/>
          <w:sz w:val="28"/>
          <w:szCs w:val="28"/>
          <w:vertAlign w:val="subscript"/>
        </w:rPr>
        <w:t>екс</w:t>
      </w:r>
      <w:r w:rsidR="00FD07E7">
        <w:rPr>
          <w:rFonts w:ascii="Times New Roman" w:hAnsi="Times New Roman" w:cs="Times New Roman"/>
          <w:color w:val="000000"/>
          <w:sz w:val="28"/>
          <w:szCs w:val="28"/>
        </w:rPr>
        <w:t xml:space="preserve"> – термін експозиції, </w:t>
      </w:r>
      <w:proofErr w:type="spellStart"/>
      <w:r w:rsidR="00FD07E7">
        <w:rPr>
          <w:rFonts w:ascii="Times New Roman" w:hAnsi="Times New Roman" w:cs="Times New Roman"/>
          <w:color w:val="000000"/>
          <w:sz w:val="28"/>
          <w:szCs w:val="28"/>
        </w:rPr>
        <w:t>Т</w:t>
      </w:r>
      <w:r w:rsidR="00FD07E7" w:rsidRPr="00FD07E7">
        <w:rPr>
          <w:rFonts w:ascii="Times New Roman" w:hAnsi="Times New Roman" w:cs="Times New Roman"/>
          <w:color w:val="000000"/>
          <w:sz w:val="28"/>
          <w:szCs w:val="28"/>
          <w:vertAlign w:val="subscript"/>
        </w:rPr>
        <w:t>ф</w:t>
      </w:r>
      <w:proofErr w:type="spellEnd"/>
      <w:r w:rsidR="00FD07E7">
        <w:rPr>
          <w:rFonts w:ascii="Times New Roman" w:hAnsi="Times New Roman" w:cs="Times New Roman"/>
          <w:color w:val="000000"/>
          <w:sz w:val="28"/>
          <w:szCs w:val="28"/>
        </w:rPr>
        <w:t xml:space="preserve"> – фактичний строк продажу майна</w:t>
      </w:r>
      <w:r w:rsidR="00985B24">
        <w:rPr>
          <w:rFonts w:ascii="Times New Roman" w:hAnsi="Times New Roman" w:cs="Times New Roman"/>
          <w:color w:val="000000"/>
          <w:sz w:val="28"/>
          <w:szCs w:val="28"/>
        </w:rPr>
        <w:t xml:space="preserve"> або майнових прав</w:t>
      </w:r>
      <w:r w:rsidR="00FD07E7">
        <w:rPr>
          <w:rFonts w:ascii="Times New Roman" w:hAnsi="Times New Roman" w:cs="Times New Roman"/>
          <w:color w:val="000000"/>
          <w:sz w:val="28"/>
          <w:szCs w:val="28"/>
        </w:rPr>
        <w:t xml:space="preserve">. </w:t>
      </w:r>
      <w:r w:rsidR="007E11A7">
        <w:rPr>
          <w:rFonts w:ascii="Times New Roman" w:hAnsi="Times New Roman" w:cs="Times New Roman"/>
          <w:color w:val="000000"/>
          <w:sz w:val="28"/>
          <w:szCs w:val="28"/>
        </w:rPr>
        <w:t>У цій формулі коефіцієнт еластичності має найбільш скла</w:t>
      </w:r>
      <w:r w:rsidR="00234C75">
        <w:rPr>
          <w:rFonts w:ascii="Times New Roman" w:hAnsi="Times New Roman" w:cs="Times New Roman"/>
          <w:color w:val="000000"/>
          <w:sz w:val="28"/>
          <w:szCs w:val="28"/>
        </w:rPr>
        <w:t>дну взаємозалежність</w:t>
      </w:r>
      <w:r w:rsidR="007E11A7">
        <w:rPr>
          <w:rFonts w:ascii="Times New Roman" w:hAnsi="Times New Roman" w:cs="Times New Roman"/>
          <w:color w:val="000000"/>
          <w:sz w:val="28"/>
          <w:szCs w:val="28"/>
        </w:rPr>
        <w:t xml:space="preserve"> </w:t>
      </w:r>
      <w:r w:rsidR="00234C75">
        <w:rPr>
          <w:rFonts w:ascii="Times New Roman" w:hAnsi="Times New Roman" w:cs="Times New Roman"/>
          <w:color w:val="000000"/>
          <w:sz w:val="28"/>
          <w:szCs w:val="28"/>
        </w:rPr>
        <w:t xml:space="preserve">різних факторів. Тому, пропонуємо ці фактори згрупувати за ознаками, які характеризують ліквідність майна та етапи життєвого циклу активу. </w:t>
      </w:r>
      <w:r w:rsidR="001D3354">
        <w:rPr>
          <w:rFonts w:ascii="Times New Roman" w:hAnsi="Times New Roman" w:cs="Times New Roman"/>
          <w:color w:val="000000"/>
          <w:sz w:val="28"/>
          <w:szCs w:val="28"/>
        </w:rPr>
        <w:t xml:space="preserve">Відповідно до Положення Національного банку України </w:t>
      </w:r>
      <w:r w:rsidR="001D3354" w:rsidRPr="00DD0684">
        <w:rPr>
          <w:rFonts w:ascii="Times New Roman" w:hAnsi="Times New Roman" w:cs="Times New Roman"/>
          <w:color w:val="000000"/>
          <w:sz w:val="28"/>
          <w:szCs w:val="28"/>
        </w:rPr>
        <w:t>від 25.01.2012 р. № 23</w:t>
      </w:r>
      <w:r w:rsidR="00234C75">
        <w:rPr>
          <w:rFonts w:ascii="Times New Roman" w:hAnsi="Times New Roman" w:cs="Times New Roman"/>
          <w:color w:val="000000"/>
          <w:sz w:val="28"/>
          <w:szCs w:val="28"/>
        </w:rPr>
        <w:t xml:space="preserve">, </w:t>
      </w:r>
      <w:r w:rsidR="00A71F0F">
        <w:rPr>
          <w:rFonts w:ascii="Times New Roman" w:hAnsi="Times New Roman" w:cs="Times New Roman"/>
          <w:color w:val="000000"/>
          <w:sz w:val="28"/>
          <w:szCs w:val="28"/>
        </w:rPr>
        <w:t>активи</w:t>
      </w:r>
      <w:r w:rsidR="00234C75">
        <w:rPr>
          <w:rFonts w:ascii="Times New Roman" w:hAnsi="Times New Roman" w:cs="Times New Roman"/>
          <w:color w:val="000000"/>
          <w:sz w:val="28"/>
          <w:szCs w:val="28"/>
        </w:rPr>
        <w:t xml:space="preserve"> поділ</w:t>
      </w:r>
      <w:r w:rsidR="001D3354">
        <w:rPr>
          <w:rFonts w:ascii="Times New Roman" w:hAnsi="Times New Roman" w:cs="Times New Roman"/>
          <w:color w:val="000000"/>
          <w:sz w:val="28"/>
          <w:szCs w:val="28"/>
        </w:rPr>
        <w:t>яються</w:t>
      </w:r>
      <w:r w:rsidR="00234C75">
        <w:rPr>
          <w:rFonts w:ascii="Times New Roman" w:hAnsi="Times New Roman" w:cs="Times New Roman"/>
          <w:color w:val="000000"/>
          <w:sz w:val="28"/>
          <w:szCs w:val="28"/>
        </w:rPr>
        <w:t xml:space="preserve"> на п</w:t>
      </w:r>
      <w:r w:rsidR="00234C75" w:rsidRPr="009E6E99">
        <w:rPr>
          <w:rFonts w:ascii="Times New Roman" w:hAnsi="Times New Roman" w:cs="Times New Roman"/>
          <w:color w:val="000000"/>
          <w:sz w:val="28"/>
          <w:szCs w:val="28"/>
        </w:rPr>
        <w:t>’</w:t>
      </w:r>
      <w:r w:rsidR="00234C75">
        <w:rPr>
          <w:rFonts w:ascii="Times New Roman" w:hAnsi="Times New Roman" w:cs="Times New Roman"/>
          <w:color w:val="000000"/>
          <w:sz w:val="28"/>
          <w:szCs w:val="28"/>
        </w:rPr>
        <w:t>ять груп ліквідності</w:t>
      </w:r>
      <w:r w:rsidR="00540115">
        <w:rPr>
          <w:rFonts w:ascii="Times New Roman" w:hAnsi="Times New Roman" w:cs="Times New Roman"/>
          <w:color w:val="000000"/>
          <w:sz w:val="28"/>
          <w:szCs w:val="28"/>
        </w:rPr>
        <w:t xml:space="preserve"> (таблиця 1)</w:t>
      </w:r>
      <w:r w:rsidR="00DD0684" w:rsidRPr="00DD0684">
        <w:rPr>
          <w:rFonts w:ascii="Times New Roman" w:hAnsi="Times New Roman" w:cs="Times New Roman"/>
          <w:color w:val="000000"/>
          <w:sz w:val="28"/>
          <w:szCs w:val="28"/>
        </w:rPr>
        <w:t>.</w:t>
      </w:r>
      <w:r w:rsidR="00540115">
        <w:rPr>
          <w:rFonts w:ascii="Times New Roman" w:hAnsi="Times New Roman" w:cs="Times New Roman"/>
          <w:color w:val="000000"/>
          <w:sz w:val="28"/>
          <w:szCs w:val="28"/>
        </w:rPr>
        <w:t xml:space="preserve">  </w:t>
      </w:r>
    </w:p>
    <w:p w:rsidR="00EB0C8E" w:rsidRDefault="00EB0C8E" w:rsidP="009E6E99">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p>
    <w:p w:rsidR="00EB0C8E" w:rsidRDefault="00EB0C8E" w:rsidP="009E6E99">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bookmarkStart w:id="0" w:name="_GoBack"/>
      <w:bookmarkEnd w:id="0"/>
    </w:p>
    <w:p w:rsidR="00540115" w:rsidRDefault="00540115" w:rsidP="00F9202A">
      <w:pPr>
        <w:shd w:val="clear" w:color="auto" w:fill="FFFFFF"/>
        <w:autoSpaceDE w:val="0"/>
        <w:autoSpaceDN w:val="0"/>
        <w:adjustRightInd w:val="0"/>
        <w:spacing w:after="0" w:line="240" w:lineRule="auto"/>
        <w:ind w:left="7788"/>
        <w:jc w:val="both"/>
        <w:rPr>
          <w:rFonts w:ascii="Times New Roman" w:hAnsi="Times New Roman" w:cs="Times New Roman"/>
          <w:color w:val="000000"/>
          <w:sz w:val="28"/>
          <w:szCs w:val="28"/>
        </w:rPr>
      </w:pPr>
      <w:r>
        <w:rPr>
          <w:rFonts w:ascii="Times New Roman" w:hAnsi="Times New Roman" w:cs="Times New Roman"/>
          <w:color w:val="000000"/>
          <w:sz w:val="28"/>
          <w:szCs w:val="28"/>
        </w:rPr>
        <w:t>Таблиця 1</w:t>
      </w:r>
    </w:p>
    <w:p w:rsidR="00540115" w:rsidRPr="00296BB3" w:rsidRDefault="00540115" w:rsidP="00F9202A">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8"/>
          <w:szCs w:val="28"/>
        </w:rPr>
        <w:t xml:space="preserve">                                 </w:t>
      </w:r>
      <w:r w:rsidRPr="00296BB3">
        <w:rPr>
          <w:rFonts w:ascii="Times New Roman" w:hAnsi="Times New Roman" w:cs="Times New Roman"/>
          <w:b/>
          <w:color w:val="000000"/>
          <w:sz w:val="24"/>
          <w:szCs w:val="24"/>
        </w:rPr>
        <w:t>Групи ліквідності майна</w:t>
      </w:r>
    </w:p>
    <w:tbl>
      <w:tblPr>
        <w:tblStyle w:val="a5"/>
        <w:tblW w:w="0" w:type="auto"/>
        <w:tblLayout w:type="fixed"/>
        <w:tblLook w:val="04A0" w:firstRow="1" w:lastRow="0" w:firstColumn="1" w:lastColumn="0" w:noHBand="0" w:noVBand="1"/>
      </w:tblPr>
      <w:tblGrid>
        <w:gridCol w:w="1668"/>
        <w:gridCol w:w="8187"/>
      </w:tblGrid>
      <w:tr w:rsidR="00540115" w:rsidRPr="00C201BE" w:rsidTr="00540115">
        <w:trPr>
          <w:trHeight w:val="516"/>
        </w:trPr>
        <w:tc>
          <w:tcPr>
            <w:tcW w:w="1668" w:type="dxa"/>
          </w:tcPr>
          <w:p w:rsidR="00540115" w:rsidRPr="00C201BE" w:rsidRDefault="00540115" w:rsidP="00540115">
            <w:pPr>
              <w:autoSpaceDE w:val="0"/>
              <w:autoSpaceDN w:val="0"/>
              <w:adjustRightInd w:val="0"/>
              <w:jc w:val="both"/>
              <w:rPr>
                <w:color w:val="000000"/>
                <w:sz w:val="24"/>
                <w:szCs w:val="24"/>
              </w:rPr>
            </w:pPr>
            <w:r w:rsidRPr="00C201BE">
              <w:rPr>
                <w:color w:val="000000"/>
                <w:sz w:val="24"/>
                <w:szCs w:val="24"/>
              </w:rPr>
              <w:t>Групи ліквідності</w:t>
            </w:r>
          </w:p>
        </w:tc>
        <w:tc>
          <w:tcPr>
            <w:tcW w:w="8187" w:type="dxa"/>
          </w:tcPr>
          <w:p w:rsidR="00540115" w:rsidRPr="00C201BE" w:rsidRDefault="00540115" w:rsidP="00540115">
            <w:pPr>
              <w:autoSpaceDE w:val="0"/>
              <w:autoSpaceDN w:val="0"/>
              <w:adjustRightInd w:val="0"/>
              <w:spacing w:line="360" w:lineRule="auto"/>
              <w:jc w:val="both"/>
              <w:rPr>
                <w:color w:val="000000"/>
                <w:sz w:val="24"/>
                <w:szCs w:val="24"/>
              </w:rPr>
            </w:pPr>
            <w:r w:rsidRPr="00C201BE">
              <w:rPr>
                <w:color w:val="000000"/>
                <w:sz w:val="24"/>
                <w:szCs w:val="24"/>
              </w:rPr>
              <w:t>Назва активу</w:t>
            </w:r>
          </w:p>
        </w:tc>
      </w:tr>
      <w:tr w:rsidR="00540115" w:rsidRPr="00C201BE" w:rsidTr="00540115">
        <w:tc>
          <w:tcPr>
            <w:tcW w:w="1668" w:type="dxa"/>
          </w:tcPr>
          <w:p w:rsidR="00540115" w:rsidRPr="00C201BE" w:rsidRDefault="00540115" w:rsidP="00540115">
            <w:pPr>
              <w:autoSpaceDE w:val="0"/>
              <w:autoSpaceDN w:val="0"/>
              <w:adjustRightInd w:val="0"/>
              <w:spacing w:line="360" w:lineRule="auto"/>
              <w:jc w:val="both"/>
              <w:rPr>
                <w:color w:val="000000"/>
                <w:sz w:val="24"/>
                <w:szCs w:val="24"/>
              </w:rPr>
            </w:pPr>
            <w:r w:rsidRPr="00C201BE">
              <w:rPr>
                <w:color w:val="000000"/>
                <w:sz w:val="24"/>
                <w:szCs w:val="24"/>
              </w:rPr>
              <w:t>І</w:t>
            </w:r>
          </w:p>
        </w:tc>
        <w:tc>
          <w:tcPr>
            <w:tcW w:w="8187" w:type="dxa"/>
          </w:tcPr>
          <w:p w:rsidR="00540115" w:rsidRDefault="00540115" w:rsidP="00DE649B">
            <w:pPr>
              <w:autoSpaceDE w:val="0"/>
              <w:autoSpaceDN w:val="0"/>
              <w:adjustRightInd w:val="0"/>
              <w:spacing w:line="360" w:lineRule="auto"/>
              <w:jc w:val="both"/>
              <w:rPr>
                <w:color w:val="000000"/>
                <w:sz w:val="24"/>
                <w:szCs w:val="24"/>
                <w:shd w:val="clear" w:color="auto" w:fill="FFFFFF"/>
              </w:rPr>
            </w:pPr>
            <w:r w:rsidRPr="00C201BE">
              <w:rPr>
                <w:color w:val="000000"/>
                <w:sz w:val="24"/>
                <w:szCs w:val="24"/>
                <w:shd w:val="clear" w:color="auto" w:fill="FFFFFF"/>
              </w:rPr>
              <w:t>безумовні та безвідкличні гарантії/безвідкличні резервні акредитиви, що виконують функції фінансової гарантії: КМУ; урядів країн та банків, що мають кредитний рейтинг, не нижчий, ніж “А-” згідно з міжнародною шкалою; банківські метали; цінні папери, емітовані центральними органами виконавчої влади України;</w:t>
            </w:r>
            <w:bookmarkStart w:id="1" w:name="n293"/>
            <w:bookmarkEnd w:id="1"/>
            <w:r w:rsidR="003E059B" w:rsidRPr="00C201BE">
              <w:rPr>
                <w:color w:val="000000"/>
                <w:sz w:val="24"/>
                <w:szCs w:val="24"/>
                <w:shd w:val="clear" w:color="auto" w:fill="FFFFFF"/>
              </w:rPr>
              <w:t xml:space="preserve"> </w:t>
            </w:r>
            <w:r w:rsidRPr="00C201BE">
              <w:rPr>
                <w:color w:val="000000"/>
                <w:sz w:val="24"/>
                <w:szCs w:val="24"/>
                <w:shd w:val="clear" w:color="auto" w:fill="FFFFFF"/>
              </w:rPr>
              <w:t>цінні папери, емітовані Національним банком України;</w:t>
            </w:r>
            <w:r w:rsidR="003E059B" w:rsidRPr="00C201BE">
              <w:rPr>
                <w:color w:val="000000"/>
                <w:sz w:val="24"/>
                <w:szCs w:val="24"/>
                <w:shd w:val="clear" w:color="auto" w:fill="FFFFFF"/>
              </w:rPr>
              <w:t xml:space="preserve"> облігації Державної іпотечної установи.</w:t>
            </w:r>
            <w:r w:rsidRPr="00C201BE">
              <w:rPr>
                <w:color w:val="000000"/>
                <w:sz w:val="24"/>
                <w:szCs w:val="24"/>
                <w:shd w:val="clear" w:color="auto" w:fill="FFFFFF"/>
              </w:rPr>
              <w:t xml:space="preserve"> </w:t>
            </w:r>
          </w:p>
          <w:p w:rsidR="001D3354" w:rsidRDefault="001D3354" w:rsidP="00DE649B">
            <w:pPr>
              <w:autoSpaceDE w:val="0"/>
              <w:autoSpaceDN w:val="0"/>
              <w:adjustRightInd w:val="0"/>
              <w:spacing w:line="360" w:lineRule="auto"/>
              <w:jc w:val="both"/>
              <w:rPr>
                <w:color w:val="000000"/>
                <w:sz w:val="24"/>
                <w:szCs w:val="24"/>
                <w:shd w:val="clear" w:color="auto" w:fill="FFFFFF"/>
              </w:rPr>
            </w:pPr>
          </w:p>
          <w:p w:rsidR="001D3354" w:rsidRPr="00C201BE" w:rsidRDefault="001D3354" w:rsidP="00DE649B">
            <w:pPr>
              <w:autoSpaceDE w:val="0"/>
              <w:autoSpaceDN w:val="0"/>
              <w:adjustRightInd w:val="0"/>
              <w:spacing w:line="360" w:lineRule="auto"/>
              <w:jc w:val="both"/>
              <w:rPr>
                <w:color w:val="000000"/>
                <w:sz w:val="24"/>
                <w:szCs w:val="24"/>
              </w:rPr>
            </w:pPr>
          </w:p>
        </w:tc>
      </w:tr>
      <w:tr w:rsidR="00C201BE" w:rsidRPr="00C201BE" w:rsidTr="00BD1511">
        <w:tc>
          <w:tcPr>
            <w:tcW w:w="9855" w:type="dxa"/>
            <w:gridSpan w:val="2"/>
          </w:tcPr>
          <w:p w:rsidR="00C201BE" w:rsidRPr="00C201BE" w:rsidRDefault="00C201BE" w:rsidP="00C201BE">
            <w:pPr>
              <w:autoSpaceDE w:val="0"/>
              <w:autoSpaceDN w:val="0"/>
              <w:adjustRightInd w:val="0"/>
              <w:spacing w:line="360" w:lineRule="auto"/>
              <w:jc w:val="right"/>
              <w:rPr>
                <w:i/>
                <w:color w:val="000000"/>
                <w:sz w:val="24"/>
                <w:szCs w:val="24"/>
                <w:shd w:val="clear" w:color="auto" w:fill="FFFFFF"/>
              </w:rPr>
            </w:pPr>
            <w:r w:rsidRPr="00C201BE">
              <w:rPr>
                <w:i/>
                <w:color w:val="000000"/>
                <w:sz w:val="24"/>
                <w:szCs w:val="24"/>
                <w:shd w:val="clear" w:color="auto" w:fill="FFFFFF"/>
              </w:rPr>
              <w:lastRenderedPageBreak/>
              <w:t>Продовження таблиці 1</w:t>
            </w:r>
          </w:p>
        </w:tc>
      </w:tr>
      <w:tr w:rsidR="00540115" w:rsidRPr="00C201BE" w:rsidTr="00540115">
        <w:tc>
          <w:tcPr>
            <w:tcW w:w="1668" w:type="dxa"/>
          </w:tcPr>
          <w:p w:rsidR="00540115" w:rsidRPr="00C201BE" w:rsidRDefault="00540115" w:rsidP="00540115">
            <w:pPr>
              <w:autoSpaceDE w:val="0"/>
              <w:autoSpaceDN w:val="0"/>
              <w:adjustRightInd w:val="0"/>
              <w:spacing w:line="360" w:lineRule="auto"/>
              <w:jc w:val="both"/>
              <w:rPr>
                <w:color w:val="000000"/>
                <w:sz w:val="24"/>
                <w:szCs w:val="24"/>
              </w:rPr>
            </w:pPr>
            <w:r w:rsidRPr="00C201BE">
              <w:rPr>
                <w:color w:val="000000"/>
                <w:sz w:val="24"/>
                <w:szCs w:val="24"/>
              </w:rPr>
              <w:t>ІІ</w:t>
            </w:r>
          </w:p>
        </w:tc>
        <w:tc>
          <w:tcPr>
            <w:tcW w:w="8187" w:type="dxa"/>
          </w:tcPr>
          <w:p w:rsidR="00540115" w:rsidRPr="00C201BE" w:rsidRDefault="003E059B" w:rsidP="00540115">
            <w:pPr>
              <w:autoSpaceDE w:val="0"/>
              <w:autoSpaceDN w:val="0"/>
              <w:adjustRightInd w:val="0"/>
              <w:spacing w:line="360" w:lineRule="auto"/>
              <w:jc w:val="both"/>
              <w:rPr>
                <w:color w:val="000000"/>
                <w:sz w:val="24"/>
                <w:szCs w:val="24"/>
              </w:rPr>
            </w:pPr>
            <w:r w:rsidRPr="00C201BE">
              <w:rPr>
                <w:color w:val="000000"/>
                <w:sz w:val="24"/>
                <w:szCs w:val="24"/>
                <w:shd w:val="clear" w:color="auto" w:fill="FFFFFF"/>
              </w:rPr>
              <w:t>безумовні та безвідкличні гарантії/безвідкличні резервні акредитиви, що виконують функції фінансової гарантії: урядів країн та банків, які мають кредитний рейтинг, не нижчий, ніж “ВВВ-”; цінні папери емітентів, які згідно з міжнародною шкалою мають кредитний рейтинг, не нижчий, ніж “інвестиційний клас”; майнові права на грошові кошти боржника чи майнового поручителя, розміщені на вкладному (депозитному) рахунку в банку, який згідно з міжнародною шкалою має кредитний рейтинг, не нижчий, ніж “інвестиційний клас”.</w:t>
            </w:r>
          </w:p>
        </w:tc>
      </w:tr>
      <w:tr w:rsidR="00540115" w:rsidRPr="00C201BE" w:rsidTr="00540115">
        <w:tc>
          <w:tcPr>
            <w:tcW w:w="1668" w:type="dxa"/>
          </w:tcPr>
          <w:p w:rsidR="00540115" w:rsidRPr="00C201BE" w:rsidRDefault="00540115" w:rsidP="00540115">
            <w:pPr>
              <w:autoSpaceDE w:val="0"/>
              <w:autoSpaceDN w:val="0"/>
              <w:adjustRightInd w:val="0"/>
              <w:spacing w:line="360" w:lineRule="auto"/>
              <w:jc w:val="both"/>
              <w:rPr>
                <w:color w:val="000000"/>
                <w:sz w:val="24"/>
                <w:szCs w:val="24"/>
              </w:rPr>
            </w:pPr>
            <w:r w:rsidRPr="00C201BE">
              <w:rPr>
                <w:color w:val="000000"/>
                <w:sz w:val="24"/>
                <w:szCs w:val="24"/>
              </w:rPr>
              <w:t>ІІІ</w:t>
            </w:r>
          </w:p>
        </w:tc>
        <w:tc>
          <w:tcPr>
            <w:tcW w:w="8187" w:type="dxa"/>
          </w:tcPr>
          <w:p w:rsidR="003E059B" w:rsidRPr="00C201BE" w:rsidRDefault="003E059B" w:rsidP="003E059B">
            <w:pPr>
              <w:autoSpaceDE w:val="0"/>
              <w:autoSpaceDN w:val="0"/>
              <w:adjustRightInd w:val="0"/>
              <w:spacing w:line="360" w:lineRule="auto"/>
              <w:jc w:val="both"/>
              <w:rPr>
                <w:color w:val="000000"/>
                <w:sz w:val="24"/>
                <w:szCs w:val="24"/>
                <w:shd w:val="clear" w:color="auto" w:fill="FFFFFF"/>
              </w:rPr>
            </w:pPr>
            <w:r w:rsidRPr="00C201BE">
              <w:rPr>
                <w:color w:val="000000"/>
                <w:sz w:val="24"/>
                <w:szCs w:val="24"/>
                <w:shd w:val="clear" w:color="auto" w:fill="FFFFFF"/>
              </w:rPr>
              <w:t>нерухоме майно, що належить до житлового фонду;</w:t>
            </w:r>
          </w:p>
          <w:p w:rsidR="00540115" w:rsidRPr="00C201BE" w:rsidRDefault="003E059B" w:rsidP="00DE649B">
            <w:pPr>
              <w:autoSpaceDE w:val="0"/>
              <w:autoSpaceDN w:val="0"/>
              <w:adjustRightInd w:val="0"/>
              <w:spacing w:line="360" w:lineRule="auto"/>
              <w:jc w:val="both"/>
              <w:rPr>
                <w:color w:val="000000"/>
                <w:sz w:val="24"/>
                <w:szCs w:val="24"/>
                <w:shd w:val="clear" w:color="auto" w:fill="FFFFFF"/>
              </w:rPr>
            </w:pPr>
            <w:bookmarkStart w:id="2" w:name="n306"/>
            <w:bookmarkEnd w:id="2"/>
            <w:r w:rsidRPr="00C201BE">
              <w:rPr>
                <w:color w:val="000000"/>
                <w:sz w:val="24"/>
                <w:szCs w:val="24"/>
                <w:shd w:val="clear" w:color="auto" w:fill="FFFFFF"/>
              </w:rPr>
              <w:t>легкові автомобілі.</w:t>
            </w:r>
          </w:p>
        </w:tc>
      </w:tr>
      <w:tr w:rsidR="00540115" w:rsidRPr="00C201BE" w:rsidTr="00540115">
        <w:tc>
          <w:tcPr>
            <w:tcW w:w="1668" w:type="dxa"/>
          </w:tcPr>
          <w:p w:rsidR="00540115" w:rsidRPr="00C201BE" w:rsidRDefault="00540115" w:rsidP="00540115">
            <w:pPr>
              <w:autoSpaceDE w:val="0"/>
              <w:autoSpaceDN w:val="0"/>
              <w:adjustRightInd w:val="0"/>
              <w:spacing w:line="360" w:lineRule="auto"/>
              <w:jc w:val="both"/>
              <w:rPr>
                <w:color w:val="000000"/>
                <w:sz w:val="24"/>
                <w:szCs w:val="24"/>
                <w:lang w:val="en-US"/>
              </w:rPr>
            </w:pPr>
            <w:r w:rsidRPr="00C201BE">
              <w:rPr>
                <w:color w:val="000000"/>
                <w:sz w:val="24"/>
                <w:szCs w:val="24"/>
              </w:rPr>
              <w:t>І</w:t>
            </w:r>
            <w:r w:rsidRPr="00C201BE">
              <w:rPr>
                <w:color w:val="000000"/>
                <w:sz w:val="24"/>
                <w:szCs w:val="24"/>
                <w:lang w:val="en-US"/>
              </w:rPr>
              <w:t>V</w:t>
            </w:r>
          </w:p>
        </w:tc>
        <w:tc>
          <w:tcPr>
            <w:tcW w:w="8187" w:type="dxa"/>
          </w:tcPr>
          <w:p w:rsidR="003E059B" w:rsidRPr="00C201BE" w:rsidRDefault="003E059B" w:rsidP="003E059B">
            <w:pPr>
              <w:autoSpaceDE w:val="0"/>
              <w:autoSpaceDN w:val="0"/>
              <w:adjustRightInd w:val="0"/>
              <w:spacing w:line="360" w:lineRule="auto"/>
              <w:jc w:val="both"/>
              <w:rPr>
                <w:color w:val="000000"/>
                <w:sz w:val="24"/>
                <w:szCs w:val="24"/>
                <w:shd w:val="clear" w:color="auto" w:fill="FFFFFF"/>
              </w:rPr>
            </w:pPr>
            <w:r w:rsidRPr="00C201BE">
              <w:rPr>
                <w:color w:val="000000"/>
                <w:sz w:val="24"/>
                <w:szCs w:val="24"/>
                <w:shd w:val="clear" w:color="auto" w:fill="FFFFFF"/>
              </w:rPr>
              <w:t>нерухоме майно, що належить до нежитлового фонду;</w:t>
            </w:r>
          </w:p>
          <w:p w:rsidR="003E059B" w:rsidRPr="00C201BE" w:rsidRDefault="003E059B" w:rsidP="003E059B">
            <w:pPr>
              <w:autoSpaceDE w:val="0"/>
              <w:autoSpaceDN w:val="0"/>
              <w:adjustRightInd w:val="0"/>
              <w:spacing w:line="360" w:lineRule="auto"/>
              <w:jc w:val="both"/>
              <w:rPr>
                <w:color w:val="000000"/>
                <w:sz w:val="24"/>
                <w:szCs w:val="24"/>
                <w:shd w:val="clear" w:color="auto" w:fill="FFFFFF"/>
              </w:rPr>
            </w:pPr>
            <w:bookmarkStart w:id="3" w:name="n311"/>
            <w:bookmarkEnd w:id="3"/>
            <w:r w:rsidRPr="00C201BE">
              <w:rPr>
                <w:color w:val="000000"/>
                <w:sz w:val="24"/>
                <w:szCs w:val="24"/>
                <w:shd w:val="clear" w:color="auto" w:fill="FFFFFF"/>
              </w:rPr>
              <w:t>транспортні засоби (крім легкових автомобілів);</w:t>
            </w:r>
          </w:p>
          <w:p w:rsidR="00540115" w:rsidRPr="00C201BE" w:rsidRDefault="003E059B" w:rsidP="003E059B">
            <w:pPr>
              <w:autoSpaceDE w:val="0"/>
              <w:autoSpaceDN w:val="0"/>
              <w:adjustRightInd w:val="0"/>
              <w:spacing w:line="360" w:lineRule="auto"/>
              <w:jc w:val="both"/>
              <w:rPr>
                <w:color w:val="000000"/>
                <w:sz w:val="24"/>
                <w:szCs w:val="24"/>
              </w:rPr>
            </w:pPr>
            <w:bookmarkStart w:id="4" w:name="n312"/>
            <w:bookmarkEnd w:id="4"/>
            <w:r w:rsidRPr="00C201BE">
              <w:rPr>
                <w:color w:val="000000"/>
                <w:sz w:val="24"/>
                <w:szCs w:val="24"/>
                <w:shd w:val="clear" w:color="auto" w:fill="FFFFFF"/>
              </w:rPr>
              <w:t>об’єкти у формі цілісного майнового комплексу;</w:t>
            </w:r>
            <w:bookmarkStart w:id="5" w:name="n313"/>
            <w:bookmarkEnd w:id="5"/>
            <w:r w:rsidRPr="00C201BE">
              <w:rPr>
                <w:color w:val="000000"/>
                <w:sz w:val="24"/>
                <w:szCs w:val="24"/>
                <w:shd w:val="clear" w:color="auto" w:fill="FFFFFF"/>
              </w:rPr>
              <w:t xml:space="preserve"> устаткування.</w:t>
            </w:r>
          </w:p>
        </w:tc>
      </w:tr>
      <w:tr w:rsidR="00540115" w:rsidRPr="00C201BE" w:rsidTr="00540115">
        <w:tc>
          <w:tcPr>
            <w:tcW w:w="1668" w:type="dxa"/>
          </w:tcPr>
          <w:p w:rsidR="00540115" w:rsidRPr="00C201BE" w:rsidRDefault="00540115" w:rsidP="00540115">
            <w:pPr>
              <w:autoSpaceDE w:val="0"/>
              <w:autoSpaceDN w:val="0"/>
              <w:adjustRightInd w:val="0"/>
              <w:spacing w:line="360" w:lineRule="auto"/>
              <w:jc w:val="both"/>
              <w:rPr>
                <w:color w:val="000000"/>
                <w:sz w:val="24"/>
                <w:szCs w:val="24"/>
              </w:rPr>
            </w:pPr>
            <w:r w:rsidRPr="00C201BE">
              <w:rPr>
                <w:color w:val="000000"/>
                <w:sz w:val="24"/>
                <w:szCs w:val="24"/>
                <w:lang w:val="en-US"/>
              </w:rPr>
              <w:t>V</w:t>
            </w:r>
          </w:p>
        </w:tc>
        <w:tc>
          <w:tcPr>
            <w:tcW w:w="8187" w:type="dxa"/>
          </w:tcPr>
          <w:p w:rsidR="003E059B" w:rsidRPr="00C201BE" w:rsidRDefault="003E059B" w:rsidP="003E059B">
            <w:pPr>
              <w:autoSpaceDE w:val="0"/>
              <w:autoSpaceDN w:val="0"/>
              <w:adjustRightInd w:val="0"/>
              <w:spacing w:line="360" w:lineRule="auto"/>
              <w:jc w:val="both"/>
              <w:rPr>
                <w:color w:val="000000"/>
                <w:sz w:val="24"/>
                <w:szCs w:val="24"/>
                <w:shd w:val="clear" w:color="auto" w:fill="FFFFFF"/>
              </w:rPr>
            </w:pPr>
            <w:r w:rsidRPr="00C201BE">
              <w:rPr>
                <w:color w:val="000000"/>
                <w:sz w:val="24"/>
                <w:szCs w:val="24"/>
                <w:shd w:val="clear" w:color="auto" w:fill="FFFFFF"/>
              </w:rPr>
              <w:t>цінні папери, емітовані органами місцевого самоврядування; інвестиційні сертифікати;</w:t>
            </w:r>
          </w:p>
          <w:p w:rsidR="00540115" w:rsidRPr="00C201BE" w:rsidRDefault="003E059B" w:rsidP="003E059B">
            <w:pPr>
              <w:autoSpaceDE w:val="0"/>
              <w:autoSpaceDN w:val="0"/>
              <w:adjustRightInd w:val="0"/>
              <w:spacing w:line="360" w:lineRule="auto"/>
              <w:jc w:val="both"/>
              <w:rPr>
                <w:color w:val="000000"/>
                <w:sz w:val="24"/>
                <w:szCs w:val="24"/>
              </w:rPr>
            </w:pPr>
            <w:bookmarkStart w:id="6" w:name="n767"/>
            <w:bookmarkEnd w:id="6"/>
            <w:r w:rsidRPr="00C201BE">
              <w:rPr>
                <w:color w:val="000000"/>
                <w:sz w:val="24"/>
                <w:szCs w:val="24"/>
                <w:shd w:val="clear" w:color="auto" w:fill="FFFFFF"/>
              </w:rPr>
              <w:t>товари в обороті або в переробці;</w:t>
            </w:r>
            <w:bookmarkStart w:id="7" w:name="n768"/>
            <w:bookmarkEnd w:id="7"/>
            <w:r w:rsidRPr="00C201BE">
              <w:rPr>
                <w:color w:val="000000"/>
                <w:sz w:val="24"/>
                <w:szCs w:val="24"/>
                <w:shd w:val="clear" w:color="auto" w:fill="FFFFFF"/>
              </w:rPr>
              <w:t xml:space="preserve"> біологічні активи; майнові права на нерухоме майно, що належатиме до нежитлового фонду, - майнові права на об’єкт незавершеного будівництва або інше нерухоме майно, що належатиме до нежитлового фонду, за умови, що графік будівельних робіт виконується в строк, а також документального підтвердження </w:t>
            </w:r>
            <w:proofErr w:type="spellStart"/>
            <w:r w:rsidRPr="00C201BE">
              <w:rPr>
                <w:color w:val="000000"/>
                <w:sz w:val="24"/>
                <w:szCs w:val="24"/>
                <w:shd w:val="clear" w:color="auto" w:fill="FFFFFF"/>
              </w:rPr>
              <w:t>заставодавцем</w:t>
            </w:r>
            <w:proofErr w:type="spellEnd"/>
            <w:r w:rsidRPr="00C201BE">
              <w:rPr>
                <w:color w:val="000000"/>
                <w:sz w:val="24"/>
                <w:szCs w:val="24"/>
                <w:shd w:val="clear" w:color="auto" w:fill="FFFFFF"/>
              </w:rPr>
              <w:t xml:space="preserve"> своїх прав щодо набуття ним у власність відповідного нерухомого майна в майбутньому; майнові права на інше майно [вироби, товари, майбутній урожай, приплід тварин, одержання грошових коштів (виручки) за укладеними договорами про продаж товарів/проведення робіт/надання послуг], яке стане власністю </w:t>
            </w:r>
            <w:proofErr w:type="spellStart"/>
            <w:r w:rsidRPr="00C201BE">
              <w:rPr>
                <w:color w:val="000000"/>
                <w:sz w:val="24"/>
                <w:szCs w:val="24"/>
                <w:shd w:val="clear" w:color="auto" w:fill="FFFFFF"/>
              </w:rPr>
              <w:t>заставодавця</w:t>
            </w:r>
            <w:proofErr w:type="spellEnd"/>
            <w:r w:rsidRPr="00C201BE">
              <w:rPr>
                <w:color w:val="000000"/>
                <w:sz w:val="24"/>
                <w:szCs w:val="24"/>
                <w:shd w:val="clear" w:color="auto" w:fill="FFFFFF"/>
              </w:rPr>
              <w:t xml:space="preserve"> після укладення договору застави, крім майнових прав на послуги, процеси, роботи, інтелектуальну власність, корпоративні права, корисні копалини, видобуток яких не здійснено, опціони.</w:t>
            </w:r>
          </w:p>
        </w:tc>
      </w:tr>
    </w:tbl>
    <w:p w:rsidR="00540115" w:rsidRDefault="003E059B" w:rsidP="00540115">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Як бачимо з таблиці 1, переважна кількість об</w:t>
      </w:r>
      <w:r w:rsidRPr="003E059B">
        <w:rPr>
          <w:rFonts w:ascii="Times New Roman" w:hAnsi="Times New Roman" w:cs="Times New Roman"/>
          <w:color w:val="000000"/>
          <w:sz w:val="28"/>
          <w:szCs w:val="28"/>
          <w:lang w:val="ru-RU"/>
        </w:rPr>
        <w:t>’</w:t>
      </w:r>
      <w:proofErr w:type="spellStart"/>
      <w:r>
        <w:rPr>
          <w:rFonts w:ascii="Times New Roman" w:hAnsi="Times New Roman" w:cs="Times New Roman"/>
          <w:color w:val="000000"/>
          <w:sz w:val="28"/>
          <w:szCs w:val="28"/>
          <w:lang w:val="ru-RU"/>
        </w:rPr>
        <w:t>єктів</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забезпечення</w:t>
      </w:r>
      <w:proofErr w:type="spellEnd"/>
      <w:r>
        <w:rPr>
          <w:rFonts w:ascii="Times New Roman" w:hAnsi="Times New Roman" w:cs="Times New Roman"/>
          <w:color w:val="000000"/>
          <w:sz w:val="28"/>
          <w:szCs w:val="28"/>
          <w:lang w:val="ru-RU"/>
        </w:rPr>
        <w:t xml:space="preserve"> </w:t>
      </w:r>
      <w:r w:rsidR="00DE649B">
        <w:rPr>
          <w:rFonts w:ascii="Times New Roman" w:hAnsi="Times New Roman" w:cs="Times New Roman"/>
          <w:color w:val="000000"/>
          <w:sz w:val="28"/>
          <w:szCs w:val="28"/>
          <w:lang w:val="ru-RU"/>
        </w:rPr>
        <w:t xml:space="preserve">за </w:t>
      </w:r>
      <w:proofErr w:type="spellStart"/>
      <w:r w:rsidR="00DE649B">
        <w:rPr>
          <w:rFonts w:ascii="Times New Roman" w:hAnsi="Times New Roman" w:cs="Times New Roman"/>
          <w:color w:val="000000"/>
          <w:sz w:val="28"/>
          <w:szCs w:val="28"/>
          <w:lang w:val="ru-RU"/>
        </w:rPr>
        <w:t>кредитними</w:t>
      </w:r>
      <w:proofErr w:type="spellEnd"/>
      <w:r w:rsidR="00DE649B">
        <w:rPr>
          <w:rFonts w:ascii="Times New Roman" w:hAnsi="Times New Roman" w:cs="Times New Roman"/>
          <w:color w:val="000000"/>
          <w:sz w:val="28"/>
          <w:szCs w:val="28"/>
          <w:lang w:val="ru-RU"/>
        </w:rPr>
        <w:t xml:space="preserve"> </w:t>
      </w:r>
      <w:proofErr w:type="spellStart"/>
      <w:r w:rsidR="00DE649B">
        <w:rPr>
          <w:rFonts w:ascii="Times New Roman" w:hAnsi="Times New Roman" w:cs="Times New Roman"/>
          <w:color w:val="000000"/>
          <w:sz w:val="28"/>
          <w:szCs w:val="28"/>
          <w:lang w:val="ru-RU"/>
        </w:rPr>
        <w:t>операціями</w:t>
      </w:r>
      <w:proofErr w:type="spellEnd"/>
      <w:r w:rsidR="00DE649B">
        <w:rPr>
          <w:rFonts w:ascii="Times New Roman" w:hAnsi="Times New Roman" w:cs="Times New Roman"/>
          <w:color w:val="000000"/>
          <w:sz w:val="28"/>
          <w:szCs w:val="28"/>
          <w:lang w:val="ru-RU"/>
        </w:rPr>
        <w:t xml:space="preserve"> </w:t>
      </w:r>
      <w:proofErr w:type="spellStart"/>
      <w:r w:rsidR="00DE649B">
        <w:rPr>
          <w:rFonts w:ascii="Times New Roman" w:hAnsi="Times New Roman" w:cs="Times New Roman"/>
          <w:color w:val="000000"/>
          <w:sz w:val="28"/>
          <w:szCs w:val="28"/>
          <w:lang w:val="ru-RU"/>
        </w:rPr>
        <w:t>відноситься</w:t>
      </w:r>
      <w:proofErr w:type="spellEnd"/>
      <w:r w:rsidR="00DE649B">
        <w:rPr>
          <w:rFonts w:ascii="Times New Roman" w:hAnsi="Times New Roman" w:cs="Times New Roman"/>
          <w:color w:val="000000"/>
          <w:sz w:val="28"/>
          <w:szCs w:val="28"/>
          <w:lang w:val="ru-RU"/>
        </w:rPr>
        <w:t xml:space="preserve"> до ІІІ та І</w:t>
      </w:r>
      <w:r w:rsidR="00DE649B">
        <w:rPr>
          <w:rFonts w:ascii="Times New Roman" w:hAnsi="Times New Roman" w:cs="Times New Roman"/>
          <w:color w:val="000000"/>
          <w:sz w:val="28"/>
          <w:szCs w:val="28"/>
          <w:lang w:val="en-US"/>
        </w:rPr>
        <w:t>V</w:t>
      </w:r>
      <w:r w:rsidR="00DE649B">
        <w:rPr>
          <w:rFonts w:ascii="Times New Roman" w:hAnsi="Times New Roman" w:cs="Times New Roman"/>
          <w:color w:val="000000"/>
          <w:sz w:val="28"/>
          <w:szCs w:val="28"/>
        </w:rPr>
        <w:t xml:space="preserve"> груп активів.</w:t>
      </w:r>
    </w:p>
    <w:p w:rsidR="00DE649B" w:rsidRDefault="00DE649B" w:rsidP="00540115">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 результатами багаторічних спостережень, у таблиці 2 наводимо значення коефіцієнту еластичності попиту за ціною.</w:t>
      </w:r>
    </w:p>
    <w:p w:rsidR="00EC38C0" w:rsidRDefault="00EC38C0" w:rsidP="00540115">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p>
    <w:p w:rsidR="00EC38C0" w:rsidRPr="009F519C" w:rsidRDefault="00EC38C0" w:rsidP="00540115">
      <w:pPr>
        <w:shd w:val="clear" w:color="auto" w:fill="FFFFFF"/>
        <w:autoSpaceDE w:val="0"/>
        <w:autoSpaceDN w:val="0"/>
        <w:adjustRightInd w:val="0"/>
        <w:spacing w:after="0" w:line="360" w:lineRule="auto"/>
        <w:jc w:val="both"/>
        <w:rPr>
          <w:rFonts w:ascii="Times New Roman" w:hAnsi="Times New Roman" w:cs="Times New Roman"/>
          <w:color w:val="000000"/>
          <w:sz w:val="28"/>
          <w:szCs w:val="28"/>
          <w:lang w:val="ru-RU"/>
        </w:rPr>
      </w:pPr>
    </w:p>
    <w:p w:rsidR="00DE649B" w:rsidRDefault="00DE649B" w:rsidP="00F9202A">
      <w:pPr>
        <w:shd w:val="clear" w:color="auto" w:fill="FFFFFF"/>
        <w:autoSpaceDE w:val="0"/>
        <w:autoSpaceDN w:val="0"/>
        <w:adjustRightInd w:val="0"/>
        <w:spacing w:after="0" w:line="240" w:lineRule="auto"/>
        <w:ind w:left="708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Таблиця 2</w:t>
      </w:r>
    </w:p>
    <w:p w:rsidR="00DE649B" w:rsidRPr="00296BB3" w:rsidRDefault="00DE649B" w:rsidP="00F9202A">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8"/>
          <w:szCs w:val="28"/>
        </w:rPr>
        <w:t xml:space="preserve">                           </w:t>
      </w:r>
      <w:r w:rsidR="00F920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296BB3">
        <w:rPr>
          <w:rFonts w:ascii="Times New Roman" w:hAnsi="Times New Roman" w:cs="Times New Roman"/>
          <w:b/>
          <w:color w:val="000000"/>
          <w:sz w:val="24"/>
          <w:szCs w:val="24"/>
        </w:rPr>
        <w:t>Еластичність попиту за ціною</w:t>
      </w:r>
    </w:p>
    <w:tbl>
      <w:tblPr>
        <w:tblStyle w:val="a5"/>
        <w:tblW w:w="0" w:type="auto"/>
        <w:tblLook w:val="04A0" w:firstRow="1" w:lastRow="0" w:firstColumn="1" w:lastColumn="0" w:noHBand="0" w:noVBand="1"/>
      </w:tblPr>
      <w:tblGrid>
        <w:gridCol w:w="817"/>
        <w:gridCol w:w="1512"/>
        <w:gridCol w:w="1378"/>
        <w:gridCol w:w="1378"/>
        <w:gridCol w:w="1378"/>
        <w:gridCol w:w="1378"/>
        <w:gridCol w:w="1378"/>
      </w:tblGrid>
      <w:tr w:rsidR="00DE649B" w:rsidTr="00934E57">
        <w:trPr>
          <w:trHeight w:val="294"/>
        </w:trPr>
        <w:tc>
          <w:tcPr>
            <w:tcW w:w="817" w:type="dxa"/>
            <w:tcBorders>
              <w:top w:val="nil"/>
              <w:left w:val="nil"/>
              <w:bottom w:val="nil"/>
              <w:right w:val="nil"/>
            </w:tcBorders>
          </w:tcPr>
          <w:p w:rsidR="00DE649B" w:rsidRDefault="00DE649B" w:rsidP="00DE649B">
            <w:pPr>
              <w:autoSpaceDE w:val="0"/>
              <w:autoSpaceDN w:val="0"/>
              <w:adjustRightInd w:val="0"/>
              <w:spacing w:line="360" w:lineRule="auto"/>
              <w:jc w:val="both"/>
              <w:rPr>
                <w:color w:val="000000"/>
                <w:sz w:val="28"/>
                <w:szCs w:val="28"/>
              </w:rPr>
            </w:pPr>
          </w:p>
        </w:tc>
        <w:tc>
          <w:tcPr>
            <w:tcW w:w="1512" w:type="dxa"/>
            <w:tcBorders>
              <w:top w:val="nil"/>
              <w:left w:val="nil"/>
              <w:bottom w:val="nil"/>
              <w:right w:val="single" w:sz="4" w:space="0" w:color="auto"/>
            </w:tcBorders>
          </w:tcPr>
          <w:p w:rsidR="00DE649B" w:rsidRDefault="00DE649B" w:rsidP="00DE649B">
            <w:pPr>
              <w:autoSpaceDE w:val="0"/>
              <w:autoSpaceDN w:val="0"/>
              <w:adjustRightInd w:val="0"/>
              <w:spacing w:line="360" w:lineRule="auto"/>
              <w:jc w:val="both"/>
              <w:rPr>
                <w:color w:val="000000"/>
                <w:sz w:val="28"/>
                <w:szCs w:val="28"/>
              </w:rPr>
            </w:pPr>
          </w:p>
        </w:tc>
        <w:tc>
          <w:tcPr>
            <w:tcW w:w="6890" w:type="dxa"/>
            <w:gridSpan w:val="5"/>
            <w:tcBorders>
              <w:left w:val="single" w:sz="4" w:space="0" w:color="auto"/>
            </w:tcBorders>
          </w:tcPr>
          <w:p w:rsidR="00DE649B" w:rsidRPr="00934E57" w:rsidRDefault="00934E57" w:rsidP="00934E57">
            <w:pPr>
              <w:autoSpaceDE w:val="0"/>
              <w:autoSpaceDN w:val="0"/>
              <w:adjustRightInd w:val="0"/>
              <w:jc w:val="center"/>
              <w:rPr>
                <w:b/>
                <w:color w:val="000000"/>
                <w:sz w:val="28"/>
                <w:szCs w:val="28"/>
              </w:rPr>
            </w:pPr>
            <w:r w:rsidRPr="00934E57">
              <w:rPr>
                <w:b/>
                <w:color w:val="000000"/>
                <w:sz w:val="28"/>
                <w:szCs w:val="28"/>
              </w:rPr>
              <w:t>Групи ліквідності майна</w:t>
            </w:r>
          </w:p>
        </w:tc>
      </w:tr>
      <w:tr w:rsidR="00DE649B" w:rsidTr="00E56EBF">
        <w:trPr>
          <w:trHeight w:val="358"/>
        </w:trPr>
        <w:tc>
          <w:tcPr>
            <w:tcW w:w="817" w:type="dxa"/>
            <w:tcBorders>
              <w:top w:val="nil"/>
              <w:left w:val="nil"/>
              <w:bottom w:val="single" w:sz="4" w:space="0" w:color="auto"/>
              <w:right w:val="nil"/>
            </w:tcBorders>
          </w:tcPr>
          <w:p w:rsidR="00DE649B" w:rsidRDefault="00DE649B" w:rsidP="00DE649B">
            <w:pPr>
              <w:autoSpaceDE w:val="0"/>
              <w:autoSpaceDN w:val="0"/>
              <w:adjustRightInd w:val="0"/>
              <w:spacing w:line="360" w:lineRule="auto"/>
              <w:jc w:val="both"/>
              <w:rPr>
                <w:color w:val="000000"/>
                <w:sz w:val="28"/>
                <w:szCs w:val="28"/>
              </w:rPr>
            </w:pPr>
          </w:p>
        </w:tc>
        <w:tc>
          <w:tcPr>
            <w:tcW w:w="1512" w:type="dxa"/>
            <w:tcBorders>
              <w:top w:val="nil"/>
              <w:left w:val="nil"/>
              <w:bottom w:val="single" w:sz="4" w:space="0" w:color="auto"/>
              <w:right w:val="single" w:sz="4" w:space="0" w:color="auto"/>
            </w:tcBorders>
          </w:tcPr>
          <w:p w:rsidR="00DE649B" w:rsidRDefault="00DE649B" w:rsidP="00DE649B">
            <w:pPr>
              <w:autoSpaceDE w:val="0"/>
              <w:autoSpaceDN w:val="0"/>
              <w:adjustRightInd w:val="0"/>
              <w:spacing w:line="360" w:lineRule="auto"/>
              <w:jc w:val="both"/>
              <w:rPr>
                <w:color w:val="000000"/>
                <w:sz w:val="28"/>
                <w:szCs w:val="28"/>
              </w:rPr>
            </w:pPr>
          </w:p>
        </w:tc>
        <w:tc>
          <w:tcPr>
            <w:tcW w:w="1378" w:type="dxa"/>
            <w:tcBorders>
              <w:left w:val="single" w:sz="4" w:space="0" w:color="auto"/>
            </w:tcBorders>
            <w:vAlign w:val="center"/>
          </w:tcPr>
          <w:p w:rsidR="00DE649B" w:rsidRPr="00934E57" w:rsidRDefault="00934E57" w:rsidP="00E56EBF">
            <w:pPr>
              <w:autoSpaceDE w:val="0"/>
              <w:autoSpaceDN w:val="0"/>
              <w:adjustRightInd w:val="0"/>
              <w:spacing w:line="360" w:lineRule="auto"/>
              <w:jc w:val="center"/>
              <w:rPr>
                <w:color w:val="000000"/>
                <w:sz w:val="28"/>
                <w:szCs w:val="28"/>
              </w:rPr>
            </w:pPr>
            <w:r w:rsidRPr="00934E57">
              <w:rPr>
                <w:color w:val="000000"/>
                <w:sz w:val="28"/>
                <w:szCs w:val="28"/>
              </w:rPr>
              <w:t>І</w:t>
            </w:r>
          </w:p>
        </w:tc>
        <w:tc>
          <w:tcPr>
            <w:tcW w:w="1378" w:type="dxa"/>
            <w:vAlign w:val="center"/>
          </w:tcPr>
          <w:p w:rsidR="00DE649B" w:rsidRPr="00934E57" w:rsidRDefault="00934E57" w:rsidP="00E56EBF">
            <w:pPr>
              <w:autoSpaceDE w:val="0"/>
              <w:autoSpaceDN w:val="0"/>
              <w:adjustRightInd w:val="0"/>
              <w:spacing w:line="360" w:lineRule="auto"/>
              <w:jc w:val="center"/>
              <w:rPr>
                <w:color w:val="000000"/>
                <w:sz w:val="28"/>
                <w:szCs w:val="28"/>
              </w:rPr>
            </w:pPr>
            <w:r w:rsidRPr="00934E57">
              <w:rPr>
                <w:color w:val="000000"/>
                <w:sz w:val="28"/>
                <w:szCs w:val="28"/>
              </w:rPr>
              <w:t>ІІ</w:t>
            </w:r>
          </w:p>
        </w:tc>
        <w:tc>
          <w:tcPr>
            <w:tcW w:w="1378" w:type="dxa"/>
            <w:vAlign w:val="center"/>
          </w:tcPr>
          <w:p w:rsidR="00DE649B" w:rsidRPr="00934E57" w:rsidRDefault="00934E57" w:rsidP="00E56EBF">
            <w:pPr>
              <w:autoSpaceDE w:val="0"/>
              <w:autoSpaceDN w:val="0"/>
              <w:adjustRightInd w:val="0"/>
              <w:spacing w:line="360" w:lineRule="auto"/>
              <w:jc w:val="center"/>
              <w:rPr>
                <w:color w:val="000000"/>
                <w:sz w:val="28"/>
                <w:szCs w:val="28"/>
              </w:rPr>
            </w:pPr>
            <w:r w:rsidRPr="00934E57">
              <w:rPr>
                <w:color w:val="000000"/>
                <w:sz w:val="28"/>
                <w:szCs w:val="28"/>
              </w:rPr>
              <w:t>ІІІ</w:t>
            </w:r>
          </w:p>
        </w:tc>
        <w:tc>
          <w:tcPr>
            <w:tcW w:w="1378" w:type="dxa"/>
            <w:vAlign w:val="center"/>
          </w:tcPr>
          <w:p w:rsidR="00DE649B" w:rsidRPr="00934E57" w:rsidRDefault="00934E57" w:rsidP="00E56EBF">
            <w:pPr>
              <w:autoSpaceDE w:val="0"/>
              <w:autoSpaceDN w:val="0"/>
              <w:adjustRightInd w:val="0"/>
              <w:spacing w:line="360" w:lineRule="auto"/>
              <w:jc w:val="center"/>
              <w:rPr>
                <w:color w:val="000000"/>
                <w:sz w:val="28"/>
                <w:szCs w:val="28"/>
                <w:lang w:val="en-US"/>
              </w:rPr>
            </w:pPr>
            <w:r w:rsidRPr="00934E57">
              <w:rPr>
                <w:color w:val="000000"/>
                <w:sz w:val="28"/>
                <w:szCs w:val="28"/>
              </w:rPr>
              <w:t>І</w:t>
            </w:r>
            <w:r w:rsidRPr="00934E57">
              <w:rPr>
                <w:color w:val="000000"/>
                <w:sz w:val="28"/>
                <w:szCs w:val="28"/>
                <w:lang w:val="en-US"/>
              </w:rPr>
              <w:t>V</w:t>
            </w:r>
          </w:p>
        </w:tc>
        <w:tc>
          <w:tcPr>
            <w:tcW w:w="1378" w:type="dxa"/>
            <w:vAlign w:val="center"/>
          </w:tcPr>
          <w:p w:rsidR="00DE649B" w:rsidRPr="00934E57" w:rsidRDefault="00934E57" w:rsidP="00E56EBF">
            <w:pPr>
              <w:autoSpaceDE w:val="0"/>
              <w:autoSpaceDN w:val="0"/>
              <w:adjustRightInd w:val="0"/>
              <w:spacing w:line="360" w:lineRule="auto"/>
              <w:jc w:val="center"/>
              <w:rPr>
                <w:color w:val="000000"/>
                <w:sz w:val="28"/>
                <w:szCs w:val="28"/>
                <w:lang w:val="en-US"/>
              </w:rPr>
            </w:pPr>
            <w:r w:rsidRPr="00934E57">
              <w:rPr>
                <w:color w:val="000000"/>
                <w:sz w:val="28"/>
                <w:szCs w:val="28"/>
                <w:lang w:val="en-US"/>
              </w:rPr>
              <w:t>V</w:t>
            </w:r>
          </w:p>
        </w:tc>
      </w:tr>
      <w:tr w:rsidR="00DE649B" w:rsidTr="00934E57">
        <w:trPr>
          <w:trHeight w:val="1003"/>
        </w:trPr>
        <w:tc>
          <w:tcPr>
            <w:tcW w:w="817" w:type="dxa"/>
            <w:vMerge w:val="restart"/>
            <w:tcBorders>
              <w:top w:val="single" w:sz="4" w:space="0" w:color="auto"/>
            </w:tcBorders>
            <w:textDirection w:val="btLr"/>
          </w:tcPr>
          <w:p w:rsidR="00DE649B" w:rsidRPr="00934E57" w:rsidRDefault="00DE649B" w:rsidP="00934E57">
            <w:pPr>
              <w:autoSpaceDE w:val="0"/>
              <w:autoSpaceDN w:val="0"/>
              <w:adjustRightInd w:val="0"/>
              <w:ind w:left="113" w:right="113"/>
              <w:jc w:val="center"/>
              <w:rPr>
                <w:b/>
                <w:color w:val="000000"/>
                <w:sz w:val="28"/>
                <w:szCs w:val="28"/>
              </w:rPr>
            </w:pPr>
            <w:r w:rsidRPr="00934E57">
              <w:rPr>
                <w:b/>
                <w:color w:val="000000"/>
                <w:sz w:val="28"/>
                <w:szCs w:val="28"/>
              </w:rPr>
              <w:t>Етапи життєвого циклу активу</w:t>
            </w:r>
          </w:p>
        </w:tc>
        <w:tc>
          <w:tcPr>
            <w:tcW w:w="1512" w:type="dxa"/>
            <w:tcBorders>
              <w:top w:val="single" w:sz="4" w:space="0" w:color="auto"/>
            </w:tcBorders>
            <w:vAlign w:val="center"/>
          </w:tcPr>
          <w:p w:rsidR="00DE649B" w:rsidRPr="00934E57" w:rsidRDefault="00DE649B" w:rsidP="00934E57">
            <w:pPr>
              <w:autoSpaceDE w:val="0"/>
              <w:autoSpaceDN w:val="0"/>
              <w:adjustRightInd w:val="0"/>
              <w:spacing w:line="360" w:lineRule="auto"/>
              <w:jc w:val="center"/>
              <w:rPr>
                <w:color w:val="000000"/>
                <w:sz w:val="28"/>
                <w:szCs w:val="28"/>
              </w:rPr>
            </w:pPr>
            <w:r w:rsidRPr="00934E57">
              <w:rPr>
                <w:color w:val="000000"/>
                <w:sz w:val="28"/>
                <w:szCs w:val="28"/>
              </w:rPr>
              <w:t>Зростання</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lang w:val="en-US"/>
              </w:rPr>
            </w:pPr>
            <w:r w:rsidRPr="00934E57">
              <w:rPr>
                <w:i/>
                <w:color w:val="000000"/>
                <w:sz w:val="28"/>
                <w:szCs w:val="28"/>
                <w:lang w:val="en-US"/>
              </w:rPr>
              <w:t>1</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lang w:val="ru-RU"/>
              </w:rPr>
              <w:t>0</w:t>
            </w:r>
            <w:r w:rsidRPr="00934E57">
              <w:rPr>
                <w:i/>
                <w:color w:val="000000"/>
                <w:sz w:val="28"/>
                <w:szCs w:val="28"/>
              </w:rPr>
              <w:t>,95</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0,9</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0,85</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0,8</w:t>
            </w:r>
          </w:p>
        </w:tc>
      </w:tr>
      <w:tr w:rsidR="00DE649B" w:rsidTr="00934E57">
        <w:trPr>
          <w:trHeight w:val="925"/>
        </w:trPr>
        <w:tc>
          <w:tcPr>
            <w:tcW w:w="817" w:type="dxa"/>
            <w:vMerge/>
          </w:tcPr>
          <w:p w:rsidR="00DE649B" w:rsidRDefault="00DE649B" w:rsidP="00DE649B">
            <w:pPr>
              <w:autoSpaceDE w:val="0"/>
              <w:autoSpaceDN w:val="0"/>
              <w:adjustRightInd w:val="0"/>
              <w:spacing w:line="360" w:lineRule="auto"/>
              <w:jc w:val="both"/>
              <w:rPr>
                <w:color w:val="000000"/>
                <w:sz w:val="28"/>
                <w:szCs w:val="28"/>
              </w:rPr>
            </w:pPr>
          </w:p>
        </w:tc>
        <w:tc>
          <w:tcPr>
            <w:tcW w:w="1512" w:type="dxa"/>
            <w:vAlign w:val="center"/>
          </w:tcPr>
          <w:p w:rsidR="00DE649B" w:rsidRPr="00934E57" w:rsidRDefault="00DE649B" w:rsidP="00934E57">
            <w:pPr>
              <w:autoSpaceDE w:val="0"/>
              <w:autoSpaceDN w:val="0"/>
              <w:adjustRightInd w:val="0"/>
              <w:spacing w:line="360" w:lineRule="auto"/>
              <w:jc w:val="center"/>
              <w:rPr>
                <w:color w:val="000000"/>
                <w:sz w:val="28"/>
                <w:szCs w:val="28"/>
              </w:rPr>
            </w:pPr>
            <w:r w:rsidRPr="00934E57">
              <w:rPr>
                <w:color w:val="000000"/>
                <w:sz w:val="28"/>
                <w:szCs w:val="28"/>
              </w:rPr>
              <w:t>Насичення</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0,9</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0,85</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0,8</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0,75</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0,7</w:t>
            </w:r>
          </w:p>
        </w:tc>
      </w:tr>
      <w:tr w:rsidR="00DE649B" w:rsidTr="00934E57">
        <w:trPr>
          <w:trHeight w:val="1144"/>
        </w:trPr>
        <w:tc>
          <w:tcPr>
            <w:tcW w:w="817" w:type="dxa"/>
            <w:vMerge/>
          </w:tcPr>
          <w:p w:rsidR="00DE649B" w:rsidRDefault="00DE649B" w:rsidP="00DE649B">
            <w:pPr>
              <w:autoSpaceDE w:val="0"/>
              <w:autoSpaceDN w:val="0"/>
              <w:adjustRightInd w:val="0"/>
              <w:spacing w:line="360" w:lineRule="auto"/>
              <w:jc w:val="both"/>
              <w:rPr>
                <w:color w:val="000000"/>
                <w:sz w:val="28"/>
                <w:szCs w:val="28"/>
              </w:rPr>
            </w:pPr>
          </w:p>
        </w:tc>
        <w:tc>
          <w:tcPr>
            <w:tcW w:w="1512" w:type="dxa"/>
            <w:vAlign w:val="center"/>
          </w:tcPr>
          <w:p w:rsidR="00DE649B" w:rsidRPr="00934E57" w:rsidRDefault="00DE649B" w:rsidP="00934E57">
            <w:pPr>
              <w:autoSpaceDE w:val="0"/>
              <w:autoSpaceDN w:val="0"/>
              <w:adjustRightInd w:val="0"/>
              <w:spacing w:line="360" w:lineRule="auto"/>
              <w:jc w:val="center"/>
              <w:rPr>
                <w:color w:val="000000"/>
                <w:sz w:val="28"/>
                <w:szCs w:val="28"/>
              </w:rPr>
            </w:pPr>
            <w:r w:rsidRPr="00934E57">
              <w:rPr>
                <w:color w:val="000000"/>
                <w:sz w:val="28"/>
                <w:szCs w:val="28"/>
              </w:rPr>
              <w:t>Спад</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0,8</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0,75</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0,7</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0,65</w:t>
            </w:r>
          </w:p>
        </w:tc>
        <w:tc>
          <w:tcPr>
            <w:tcW w:w="1378" w:type="dxa"/>
            <w:vAlign w:val="center"/>
          </w:tcPr>
          <w:p w:rsidR="00DE649B" w:rsidRPr="00934E57" w:rsidRDefault="00934E57" w:rsidP="00934E57">
            <w:pPr>
              <w:autoSpaceDE w:val="0"/>
              <w:autoSpaceDN w:val="0"/>
              <w:adjustRightInd w:val="0"/>
              <w:spacing w:line="360" w:lineRule="auto"/>
              <w:jc w:val="center"/>
              <w:rPr>
                <w:i/>
                <w:color w:val="000000"/>
                <w:sz w:val="28"/>
                <w:szCs w:val="28"/>
              </w:rPr>
            </w:pPr>
            <w:r w:rsidRPr="00934E57">
              <w:rPr>
                <w:i/>
                <w:color w:val="000000"/>
                <w:sz w:val="28"/>
                <w:szCs w:val="28"/>
              </w:rPr>
              <w:t>0,6</w:t>
            </w:r>
          </w:p>
        </w:tc>
      </w:tr>
    </w:tbl>
    <w:p w:rsidR="00DE649B" w:rsidRDefault="005971C9" w:rsidP="00DE649B">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Як бачимо з таблиці 2, на спадаючому ринку еластичність збільшується.</w:t>
      </w:r>
    </w:p>
    <w:p w:rsidR="001A7E17" w:rsidRPr="00593FDF" w:rsidRDefault="00A97F07" w:rsidP="001A7E1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557F73">
        <w:rPr>
          <w:rFonts w:ascii="Times New Roman" w:hAnsi="Times New Roman" w:cs="Times New Roman"/>
          <w:color w:val="000000"/>
          <w:sz w:val="28"/>
          <w:szCs w:val="28"/>
        </w:rPr>
        <w:t xml:space="preserve"> </w:t>
      </w:r>
      <w:r w:rsidR="00BB1AB8">
        <w:rPr>
          <w:rFonts w:ascii="Times New Roman" w:hAnsi="Times New Roman" w:cs="Times New Roman"/>
          <w:color w:val="000000"/>
          <w:sz w:val="28"/>
          <w:szCs w:val="28"/>
        </w:rPr>
        <w:t>П</w:t>
      </w:r>
      <w:r w:rsidR="008C01B3" w:rsidRPr="00593FDF">
        <w:rPr>
          <w:rFonts w:ascii="Times New Roman" w:hAnsi="Times New Roman" w:cs="Times New Roman"/>
          <w:color w:val="000000"/>
          <w:sz w:val="28"/>
          <w:szCs w:val="28"/>
        </w:rPr>
        <w:t xml:space="preserve">роілюструємо на </w:t>
      </w:r>
      <w:r w:rsidRPr="00593FDF">
        <w:rPr>
          <w:rFonts w:ascii="Times New Roman" w:hAnsi="Times New Roman" w:cs="Times New Roman"/>
          <w:color w:val="000000"/>
          <w:sz w:val="28"/>
          <w:szCs w:val="28"/>
        </w:rPr>
        <w:t>рисунку 1</w:t>
      </w:r>
      <w:r w:rsidR="00BB1AB8">
        <w:rPr>
          <w:rFonts w:ascii="Times New Roman" w:hAnsi="Times New Roman" w:cs="Times New Roman"/>
          <w:color w:val="000000"/>
          <w:sz w:val="28"/>
          <w:szCs w:val="28"/>
        </w:rPr>
        <w:t xml:space="preserve"> залежність коефіцієнта ліквідаційної вартості від фактичного строку продажу актив</w:t>
      </w:r>
      <w:r w:rsidR="009005DA">
        <w:rPr>
          <w:rFonts w:ascii="Times New Roman" w:hAnsi="Times New Roman" w:cs="Times New Roman"/>
          <w:color w:val="000000"/>
          <w:sz w:val="28"/>
          <w:szCs w:val="28"/>
        </w:rPr>
        <w:t>у, який відноситься до третьої групи ліквідності</w:t>
      </w:r>
      <w:r w:rsidR="00BB1AB8">
        <w:rPr>
          <w:rFonts w:ascii="Times New Roman" w:hAnsi="Times New Roman" w:cs="Times New Roman"/>
          <w:color w:val="000000"/>
          <w:sz w:val="28"/>
          <w:szCs w:val="28"/>
        </w:rPr>
        <w:t xml:space="preserve"> на зростаючому, насиченому та спадаючому ринках</w:t>
      </w:r>
      <w:r w:rsidR="00190764">
        <w:rPr>
          <w:rFonts w:ascii="Times New Roman" w:hAnsi="Times New Roman" w:cs="Times New Roman"/>
          <w:color w:val="000000"/>
          <w:sz w:val="28"/>
          <w:szCs w:val="28"/>
        </w:rPr>
        <w:t xml:space="preserve"> (враховано, що строк експозиції </w:t>
      </w:r>
      <w:r w:rsidR="00DD2D53">
        <w:rPr>
          <w:rFonts w:ascii="Times New Roman" w:hAnsi="Times New Roman" w:cs="Times New Roman"/>
          <w:color w:val="000000"/>
          <w:sz w:val="28"/>
          <w:szCs w:val="28"/>
        </w:rPr>
        <w:t xml:space="preserve">та ставка дисконту </w:t>
      </w:r>
      <w:r w:rsidR="00190764">
        <w:rPr>
          <w:rFonts w:ascii="Times New Roman" w:hAnsi="Times New Roman" w:cs="Times New Roman"/>
          <w:color w:val="000000"/>
          <w:sz w:val="28"/>
          <w:szCs w:val="28"/>
        </w:rPr>
        <w:t>збільшуватим</w:t>
      </w:r>
      <w:r w:rsidR="00DD2D53">
        <w:rPr>
          <w:rFonts w:ascii="Times New Roman" w:hAnsi="Times New Roman" w:cs="Times New Roman"/>
          <w:color w:val="000000"/>
          <w:sz w:val="28"/>
          <w:szCs w:val="28"/>
        </w:rPr>
        <w:t>у</w:t>
      </w:r>
      <w:r w:rsidR="00190764">
        <w:rPr>
          <w:rFonts w:ascii="Times New Roman" w:hAnsi="Times New Roman" w:cs="Times New Roman"/>
          <w:color w:val="000000"/>
          <w:sz w:val="28"/>
          <w:szCs w:val="28"/>
        </w:rPr>
        <w:t>ться на спадаючому ринку)</w:t>
      </w:r>
      <w:r w:rsidRPr="00593FDF">
        <w:rPr>
          <w:rFonts w:ascii="Times New Roman" w:hAnsi="Times New Roman" w:cs="Times New Roman"/>
          <w:color w:val="000000"/>
          <w:sz w:val="28"/>
          <w:szCs w:val="28"/>
        </w:rPr>
        <w:t>.</w:t>
      </w:r>
    </w:p>
    <w:p w:rsidR="00B332E7" w:rsidRPr="009F519C" w:rsidRDefault="00DD2D53" w:rsidP="00C32E7A">
      <w:pPr>
        <w:shd w:val="clear" w:color="auto" w:fill="FFFFFF"/>
        <w:autoSpaceDE w:val="0"/>
        <w:autoSpaceDN w:val="0"/>
        <w:adjustRightInd w:val="0"/>
        <w:spacing w:after="0" w:line="360" w:lineRule="auto"/>
        <w:jc w:val="both"/>
        <w:rPr>
          <w:noProof/>
          <w:lang w:val="ru-RU" w:eastAsia="uk-UA"/>
        </w:rPr>
      </w:pPr>
      <w:r>
        <w:rPr>
          <w:noProof/>
          <w:lang w:eastAsia="uk-UA"/>
        </w:rPr>
        <w:drawing>
          <wp:inline distT="0" distB="0" distL="0" distR="0" wp14:anchorId="1DA49DCC" wp14:editId="5B46B3DD">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lang w:eastAsia="uk-UA"/>
        </w:rPr>
        <w:t xml:space="preserve"> </w:t>
      </w:r>
    </w:p>
    <w:p w:rsidR="00171527" w:rsidRDefault="00C32E7A" w:rsidP="00C32E7A">
      <w:pPr>
        <w:shd w:val="clear" w:color="auto" w:fill="FFFFFF"/>
        <w:autoSpaceDE w:val="0"/>
        <w:autoSpaceDN w:val="0"/>
        <w:adjustRightInd w:val="0"/>
        <w:spacing w:after="0" w:line="360" w:lineRule="auto"/>
        <w:jc w:val="both"/>
        <w:rPr>
          <w:rFonts w:ascii="Times New Roman" w:hAnsi="Times New Roman" w:cs="Times New Roman"/>
          <w:color w:val="000000"/>
          <w:sz w:val="28"/>
          <w:szCs w:val="28"/>
          <w:lang w:val="ru-RU"/>
        </w:rPr>
      </w:pPr>
      <w:r>
        <w:rPr>
          <w:noProof/>
          <w:lang w:eastAsia="uk-UA"/>
        </w:rPr>
        <w:t xml:space="preserve"> </w:t>
      </w:r>
      <w:r w:rsidR="00593FDF">
        <w:rPr>
          <w:noProof/>
          <w:lang w:eastAsia="uk-UA"/>
        </w:rPr>
        <w:t xml:space="preserve"> </w:t>
      </w:r>
      <w:r w:rsidR="0061373E" w:rsidRPr="00B02FAF">
        <w:rPr>
          <w:rFonts w:ascii="Times New Roman" w:hAnsi="Times New Roman" w:cs="Times New Roman"/>
          <w:b/>
          <w:noProof/>
          <w:sz w:val="20"/>
          <w:szCs w:val="20"/>
          <w:lang w:eastAsia="uk-UA"/>
        </w:rPr>
        <w:t xml:space="preserve">Залежність коефіцієнта </w:t>
      </w:r>
      <w:r w:rsidR="00BB1AB8">
        <w:rPr>
          <w:rFonts w:ascii="Times New Roman" w:hAnsi="Times New Roman" w:cs="Times New Roman"/>
          <w:b/>
          <w:noProof/>
          <w:sz w:val="20"/>
          <w:szCs w:val="20"/>
          <w:lang w:eastAsia="uk-UA"/>
        </w:rPr>
        <w:t>ліквідаційної вартості</w:t>
      </w:r>
      <w:r w:rsidR="00B02FAF" w:rsidRPr="00B02FAF">
        <w:rPr>
          <w:rFonts w:ascii="Times New Roman" w:hAnsi="Times New Roman" w:cs="Times New Roman"/>
          <w:b/>
          <w:color w:val="000000"/>
          <w:sz w:val="20"/>
          <w:szCs w:val="20"/>
        </w:rPr>
        <w:t xml:space="preserve"> </w:t>
      </w:r>
      <w:r w:rsidR="00BB1AB8" w:rsidRPr="00BB1AB8">
        <w:rPr>
          <w:rFonts w:ascii="Times New Roman" w:hAnsi="Times New Roman" w:cs="Times New Roman"/>
          <w:b/>
          <w:noProof/>
          <w:sz w:val="20"/>
          <w:szCs w:val="20"/>
          <w:lang w:eastAsia="uk-UA"/>
        </w:rPr>
        <w:t>від фактичного строку продажу актив</w:t>
      </w:r>
      <w:r w:rsidR="009005DA">
        <w:rPr>
          <w:rFonts w:ascii="Times New Roman" w:hAnsi="Times New Roman" w:cs="Times New Roman"/>
          <w:b/>
          <w:noProof/>
          <w:sz w:val="20"/>
          <w:szCs w:val="20"/>
          <w:lang w:eastAsia="uk-UA"/>
        </w:rPr>
        <w:t xml:space="preserve">у, </w:t>
      </w:r>
      <w:r w:rsidR="009005DA" w:rsidRPr="009005DA">
        <w:rPr>
          <w:rFonts w:ascii="Times New Roman" w:hAnsi="Times New Roman" w:cs="Times New Roman"/>
          <w:b/>
          <w:noProof/>
          <w:sz w:val="20"/>
          <w:szCs w:val="20"/>
          <w:lang w:eastAsia="uk-UA"/>
        </w:rPr>
        <w:t>який відноситься до третьої групи ліквідності</w:t>
      </w:r>
      <w:r w:rsidR="00BB1AB8">
        <w:rPr>
          <w:rFonts w:ascii="Times New Roman" w:hAnsi="Times New Roman" w:cs="Times New Roman"/>
          <w:b/>
          <w:noProof/>
          <w:sz w:val="20"/>
          <w:szCs w:val="20"/>
          <w:lang w:eastAsia="uk-UA"/>
        </w:rPr>
        <w:t xml:space="preserve"> </w:t>
      </w:r>
      <w:r w:rsidR="00BB1AB8" w:rsidRPr="00BB1AB8">
        <w:rPr>
          <w:rFonts w:ascii="Times New Roman" w:hAnsi="Times New Roman" w:cs="Times New Roman"/>
          <w:b/>
          <w:noProof/>
          <w:sz w:val="20"/>
          <w:szCs w:val="20"/>
          <w:lang w:eastAsia="uk-UA"/>
        </w:rPr>
        <w:t>на зростаючому, насиченому та спадаючому ринках</w:t>
      </w:r>
      <w:r w:rsidR="00B02FAF" w:rsidRPr="00B02FAF">
        <w:rPr>
          <w:rFonts w:ascii="Times New Roman" w:hAnsi="Times New Roman" w:cs="Times New Roman"/>
          <w:b/>
          <w:color w:val="000000"/>
          <w:sz w:val="20"/>
          <w:szCs w:val="20"/>
        </w:rPr>
        <w:t>. Рисунок 1</w:t>
      </w:r>
      <w:r w:rsidR="00B02FAF">
        <w:rPr>
          <w:rFonts w:ascii="Times New Roman" w:hAnsi="Times New Roman" w:cs="Times New Roman"/>
          <w:b/>
          <w:color w:val="000000"/>
          <w:sz w:val="20"/>
          <w:szCs w:val="20"/>
        </w:rPr>
        <w:t xml:space="preserve"> (власні дослідження)</w:t>
      </w:r>
      <w:r w:rsidR="00B02FAF" w:rsidRPr="00B02FAF">
        <w:rPr>
          <w:rFonts w:ascii="Times New Roman" w:hAnsi="Times New Roman" w:cs="Times New Roman"/>
          <w:b/>
          <w:color w:val="000000"/>
          <w:sz w:val="20"/>
          <w:szCs w:val="20"/>
        </w:rPr>
        <w:t>.</w:t>
      </w:r>
    </w:p>
    <w:p w:rsidR="002F00AD" w:rsidRDefault="002F00AD" w:rsidP="00A8155D">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Як бачимо з</w:t>
      </w:r>
      <w:r w:rsidR="001119D8">
        <w:rPr>
          <w:rFonts w:ascii="Times New Roman" w:hAnsi="Times New Roman" w:cs="Times New Roman"/>
          <w:color w:val="000000"/>
          <w:sz w:val="28"/>
          <w:szCs w:val="28"/>
        </w:rPr>
        <w:t xml:space="preserve"> рисунку 1</w:t>
      </w:r>
      <w:r>
        <w:rPr>
          <w:rFonts w:ascii="Times New Roman" w:hAnsi="Times New Roman" w:cs="Times New Roman"/>
          <w:color w:val="000000"/>
          <w:sz w:val="28"/>
          <w:szCs w:val="28"/>
        </w:rPr>
        <w:t>, на спадаючому ринку ліквідаційна вартість може становити менше 60% від ринкової.</w:t>
      </w:r>
      <w:r w:rsidR="001119D8">
        <w:rPr>
          <w:rFonts w:ascii="Times New Roman" w:hAnsi="Times New Roman" w:cs="Times New Roman"/>
          <w:color w:val="000000"/>
          <w:sz w:val="28"/>
          <w:szCs w:val="28"/>
        </w:rPr>
        <w:t xml:space="preserve"> </w:t>
      </w:r>
      <w:r w:rsidR="00DD2D53">
        <w:rPr>
          <w:rFonts w:ascii="Times New Roman" w:hAnsi="Times New Roman" w:cs="Times New Roman"/>
          <w:color w:val="000000"/>
          <w:sz w:val="28"/>
          <w:szCs w:val="28"/>
        </w:rPr>
        <w:t>Також, на спадаючому ринку збільшується нахил кривої, тобто підвищується чутливість ліквідаційної вартості до строку реалізації активу.</w:t>
      </w:r>
    </w:p>
    <w:p w:rsidR="00432D0D" w:rsidRPr="00A8155D" w:rsidRDefault="004B2288" w:rsidP="00A8155D">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sidRPr="00A8155D">
        <w:rPr>
          <w:rFonts w:ascii="Times New Roman" w:hAnsi="Times New Roman" w:cs="Times New Roman"/>
          <w:color w:val="000000"/>
          <w:sz w:val="28"/>
          <w:szCs w:val="28"/>
        </w:rPr>
        <w:lastRenderedPageBreak/>
        <w:t>Таким чином, при визначенн</w:t>
      </w:r>
      <w:r>
        <w:rPr>
          <w:rFonts w:ascii="Times New Roman" w:hAnsi="Times New Roman" w:cs="Times New Roman"/>
          <w:color w:val="000000"/>
          <w:sz w:val="28"/>
          <w:szCs w:val="28"/>
        </w:rPr>
        <w:t xml:space="preserve">і </w:t>
      </w:r>
      <w:r w:rsidR="002F00AD">
        <w:rPr>
          <w:rFonts w:ascii="Times New Roman" w:hAnsi="Times New Roman" w:cs="Times New Roman"/>
          <w:color w:val="000000"/>
          <w:sz w:val="28"/>
          <w:szCs w:val="28"/>
        </w:rPr>
        <w:t>ліквідаційн</w:t>
      </w:r>
      <w:r>
        <w:rPr>
          <w:rFonts w:ascii="Times New Roman" w:hAnsi="Times New Roman" w:cs="Times New Roman"/>
          <w:color w:val="000000"/>
          <w:sz w:val="28"/>
          <w:szCs w:val="28"/>
        </w:rPr>
        <w:t>ої вартості необхідно враховувати</w:t>
      </w:r>
      <w:r w:rsidR="00A8155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щільність взаємозв</w:t>
      </w:r>
      <w:r w:rsidRPr="00A8155D">
        <w:rPr>
          <w:rFonts w:ascii="Times New Roman" w:hAnsi="Times New Roman" w:cs="Times New Roman"/>
          <w:color w:val="000000"/>
          <w:sz w:val="28"/>
          <w:szCs w:val="28"/>
        </w:rPr>
        <w:t xml:space="preserve">’язку </w:t>
      </w:r>
      <w:r w:rsidR="00A8155D" w:rsidRPr="00A8155D">
        <w:rPr>
          <w:rFonts w:ascii="Times New Roman" w:hAnsi="Times New Roman" w:cs="Times New Roman"/>
          <w:color w:val="000000"/>
          <w:sz w:val="28"/>
          <w:szCs w:val="28"/>
        </w:rPr>
        <w:t xml:space="preserve">таких </w:t>
      </w:r>
      <w:r w:rsidRPr="00A8155D">
        <w:rPr>
          <w:rFonts w:ascii="Times New Roman" w:hAnsi="Times New Roman" w:cs="Times New Roman"/>
          <w:color w:val="000000"/>
          <w:sz w:val="28"/>
          <w:szCs w:val="28"/>
        </w:rPr>
        <w:t>економічних параметрів</w:t>
      </w:r>
      <w:r w:rsidR="00A8155D" w:rsidRPr="00A8155D">
        <w:rPr>
          <w:rFonts w:ascii="Times New Roman" w:hAnsi="Times New Roman" w:cs="Times New Roman"/>
          <w:color w:val="000000"/>
          <w:sz w:val="28"/>
          <w:szCs w:val="28"/>
        </w:rPr>
        <w:t>, як попит та пропозиція за допомогою коефіцієнта еластичності попиту за ціною</w:t>
      </w:r>
      <w:r w:rsidR="00A8155D">
        <w:rPr>
          <w:rFonts w:ascii="Times New Roman" w:hAnsi="Times New Roman" w:cs="Times New Roman"/>
          <w:color w:val="000000"/>
          <w:sz w:val="28"/>
          <w:szCs w:val="28"/>
        </w:rPr>
        <w:t xml:space="preserve">; ставку дисконтування; строк експозиції </w:t>
      </w:r>
      <w:r w:rsidR="002F00AD">
        <w:rPr>
          <w:rFonts w:ascii="Times New Roman" w:hAnsi="Times New Roman" w:cs="Times New Roman"/>
          <w:color w:val="000000"/>
          <w:sz w:val="28"/>
          <w:szCs w:val="28"/>
        </w:rPr>
        <w:t>активу</w:t>
      </w:r>
      <w:r w:rsidR="00A8155D">
        <w:rPr>
          <w:rFonts w:ascii="Times New Roman" w:hAnsi="Times New Roman" w:cs="Times New Roman"/>
          <w:color w:val="000000"/>
          <w:sz w:val="28"/>
          <w:szCs w:val="28"/>
        </w:rPr>
        <w:t xml:space="preserve"> як</w:t>
      </w:r>
      <w:r w:rsidR="002F00AD">
        <w:rPr>
          <w:rFonts w:ascii="Times New Roman" w:hAnsi="Times New Roman" w:cs="Times New Roman"/>
          <w:color w:val="000000"/>
          <w:sz w:val="28"/>
          <w:szCs w:val="28"/>
        </w:rPr>
        <w:t>ий</w:t>
      </w:r>
      <w:r w:rsidR="00A8155D">
        <w:rPr>
          <w:rFonts w:ascii="Times New Roman" w:hAnsi="Times New Roman" w:cs="Times New Roman"/>
          <w:color w:val="000000"/>
          <w:sz w:val="28"/>
          <w:szCs w:val="28"/>
        </w:rPr>
        <w:t xml:space="preserve"> оцінюється.</w:t>
      </w:r>
      <w:r w:rsidR="002F00AD">
        <w:rPr>
          <w:rFonts w:ascii="Times New Roman" w:hAnsi="Times New Roman" w:cs="Times New Roman"/>
          <w:color w:val="000000"/>
          <w:sz w:val="28"/>
          <w:szCs w:val="28"/>
        </w:rPr>
        <w:t xml:space="preserve"> </w:t>
      </w:r>
      <w:r w:rsidR="00F704BB">
        <w:rPr>
          <w:rFonts w:ascii="Times New Roman" w:hAnsi="Times New Roman" w:cs="Times New Roman"/>
          <w:color w:val="000000"/>
          <w:sz w:val="28"/>
          <w:szCs w:val="28"/>
        </w:rPr>
        <w:t xml:space="preserve">Досліджено залежність </w:t>
      </w:r>
      <w:r w:rsidR="00F704BB" w:rsidRPr="00A8155D">
        <w:rPr>
          <w:rFonts w:ascii="Times New Roman" w:hAnsi="Times New Roman" w:cs="Times New Roman"/>
          <w:color w:val="000000"/>
          <w:sz w:val="28"/>
          <w:szCs w:val="28"/>
        </w:rPr>
        <w:t>коефіцієнта еластичності попиту за ціною</w:t>
      </w:r>
      <w:r w:rsidR="00F704BB">
        <w:rPr>
          <w:rFonts w:ascii="Times New Roman" w:hAnsi="Times New Roman" w:cs="Times New Roman"/>
          <w:color w:val="000000"/>
          <w:sz w:val="28"/>
          <w:szCs w:val="28"/>
        </w:rPr>
        <w:t xml:space="preserve"> для різних груп ліквідності майна на зростаючому, насиченому та спадаючому ринках.</w:t>
      </w:r>
    </w:p>
    <w:p w:rsidR="00E34A26" w:rsidRPr="00A8155D" w:rsidRDefault="00E34A26" w:rsidP="00B80BEA">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39225A" w:rsidRPr="009F729B" w:rsidRDefault="0039225A" w:rsidP="0039225A">
      <w:pPr>
        <w:shd w:val="clear" w:color="auto" w:fill="FFFFFF"/>
        <w:autoSpaceDE w:val="0"/>
        <w:autoSpaceDN w:val="0"/>
        <w:adjustRightInd w:val="0"/>
        <w:jc w:val="both"/>
        <w:rPr>
          <w:rFonts w:ascii="Times New Roman" w:hAnsi="Times New Roman" w:cs="Times New Roman"/>
          <w:sz w:val="28"/>
          <w:szCs w:val="28"/>
        </w:rPr>
      </w:pPr>
      <w:r w:rsidRPr="009F729B">
        <w:rPr>
          <w:rFonts w:ascii="Times New Roman" w:hAnsi="Times New Roman" w:cs="Times New Roman"/>
          <w:b/>
          <w:bCs/>
          <w:color w:val="000000"/>
          <w:sz w:val="28"/>
          <w:szCs w:val="28"/>
        </w:rPr>
        <w:t>Література</w:t>
      </w:r>
    </w:p>
    <w:p w:rsidR="00AB5544" w:rsidRPr="009F729B" w:rsidRDefault="00AB5544" w:rsidP="002B6C21">
      <w:pPr>
        <w:pStyle w:val="a6"/>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9F729B">
        <w:rPr>
          <w:rFonts w:ascii="Times New Roman" w:hAnsi="Times New Roman" w:cs="Times New Roman"/>
          <w:color w:val="000000"/>
          <w:sz w:val="28"/>
          <w:szCs w:val="28"/>
        </w:rPr>
        <w:t xml:space="preserve">Постанова КМ України «Про затвердження Національного стандарту № </w:t>
      </w:r>
      <w:r>
        <w:rPr>
          <w:rFonts w:ascii="Times New Roman" w:hAnsi="Times New Roman" w:cs="Times New Roman"/>
          <w:color w:val="000000"/>
          <w:sz w:val="28"/>
          <w:szCs w:val="28"/>
        </w:rPr>
        <w:t xml:space="preserve">1 </w:t>
      </w:r>
      <w:r w:rsidRPr="009F729B">
        <w:rPr>
          <w:rFonts w:ascii="Times New Roman" w:hAnsi="Times New Roman" w:cs="Times New Roman"/>
          <w:color w:val="000000"/>
          <w:sz w:val="28"/>
          <w:szCs w:val="28"/>
        </w:rPr>
        <w:t>«</w:t>
      </w:r>
      <w:r w:rsidRPr="00AB5544">
        <w:rPr>
          <w:rFonts w:ascii="Times New Roman" w:hAnsi="Times New Roman" w:cs="Times New Roman"/>
          <w:color w:val="000000"/>
          <w:sz w:val="28"/>
          <w:szCs w:val="28"/>
        </w:rPr>
        <w:t>Загальні засади оцінки майна і майнових прав</w:t>
      </w:r>
      <w:r w:rsidRPr="009F729B">
        <w:rPr>
          <w:rFonts w:ascii="Times New Roman" w:hAnsi="Times New Roman" w:cs="Times New Roman"/>
          <w:color w:val="000000"/>
          <w:sz w:val="28"/>
          <w:szCs w:val="28"/>
        </w:rPr>
        <w:t xml:space="preserve">» від </w:t>
      </w:r>
      <w:r>
        <w:rPr>
          <w:rFonts w:ascii="Times New Roman" w:hAnsi="Times New Roman" w:cs="Times New Roman"/>
          <w:color w:val="000000"/>
          <w:sz w:val="28"/>
          <w:szCs w:val="28"/>
        </w:rPr>
        <w:t>10</w:t>
      </w:r>
      <w:r w:rsidRPr="009F729B">
        <w:rPr>
          <w:rFonts w:ascii="Times New Roman" w:hAnsi="Times New Roman" w:cs="Times New Roman"/>
          <w:color w:val="000000"/>
          <w:sz w:val="28"/>
          <w:szCs w:val="28"/>
        </w:rPr>
        <w:t>.</w:t>
      </w:r>
      <w:r>
        <w:rPr>
          <w:rFonts w:ascii="Times New Roman" w:hAnsi="Times New Roman" w:cs="Times New Roman"/>
          <w:color w:val="000000"/>
          <w:sz w:val="28"/>
          <w:szCs w:val="28"/>
        </w:rPr>
        <w:t>09</w:t>
      </w:r>
      <w:r w:rsidRPr="009F729B">
        <w:rPr>
          <w:rFonts w:ascii="Times New Roman" w:hAnsi="Times New Roman" w:cs="Times New Roman"/>
          <w:color w:val="000000"/>
          <w:sz w:val="28"/>
          <w:szCs w:val="28"/>
        </w:rPr>
        <w:t>.200</w:t>
      </w:r>
      <w:r>
        <w:rPr>
          <w:rFonts w:ascii="Times New Roman" w:hAnsi="Times New Roman" w:cs="Times New Roman"/>
          <w:color w:val="000000"/>
          <w:sz w:val="28"/>
          <w:szCs w:val="28"/>
        </w:rPr>
        <w:t>3</w:t>
      </w:r>
      <w:r w:rsidRPr="009F729B">
        <w:rPr>
          <w:rFonts w:ascii="Times New Roman" w:hAnsi="Times New Roman" w:cs="Times New Roman"/>
          <w:color w:val="000000"/>
          <w:sz w:val="28"/>
          <w:szCs w:val="28"/>
        </w:rPr>
        <w:t xml:space="preserve"> г. № 144</w:t>
      </w:r>
      <w:r>
        <w:rPr>
          <w:rFonts w:ascii="Times New Roman" w:hAnsi="Times New Roman" w:cs="Times New Roman"/>
          <w:color w:val="000000"/>
          <w:sz w:val="28"/>
          <w:szCs w:val="28"/>
        </w:rPr>
        <w:t>0</w:t>
      </w:r>
      <w:r w:rsidRPr="009F729B">
        <w:rPr>
          <w:rFonts w:ascii="Times New Roman" w:hAnsi="Times New Roman" w:cs="Times New Roman"/>
          <w:color w:val="000000"/>
          <w:sz w:val="28"/>
          <w:szCs w:val="28"/>
        </w:rPr>
        <w:t>.</w:t>
      </w:r>
    </w:p>
    <w:p w:rsidR="007012B3" w:rsidRPr="00234C75" w:rsidRDefault="009F729B" w:rsidP="002B6C21">
      <w:pPr>
        <w:pStyle w:val="a6"/>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9F729B">
        <w:rPr>
          <w:rFonts w:ascii="Times New Roman" w:hAnsi="Times New Roman" w:cs="Times New Roman"/>
          <w:color w:val="000000"/>
          <w:sz w:val="28"/>
          <w:szCs w:val="28"/>
        </w:rPr>
        <w:t xml:space="preserve">Постанова КМ України «Про затвердження Національного стандарту № </w:t>
      </w:r>
      <w:r w:rsidR="00B374A2">
        <w:rPr>
          <w:rFonts w:ascii="Times New Roman" w:hAnsi="Times New Roman" w:cs="Times New Roman"/>
          <w:color w:val="000000"/>
          <w:sz w:val="28"/>
          <w:szCs w:val="28"/>
        </w:rPr>
        <w:t>2</w:t>
      </w:r>
      <w:r w:rsidRPr="009F729B">
        <w:rPr>
          <w:rFonts w:ascii="Times New Roman" w:hAnsi="Times New Roman" w:cs="Times New Roman"/>
          <w:color w:val="000000"/>
          <w:sz w:val="28"/>
          <w:szCs w:val="28"/>
        </w:rPr>
        <w:t xml:space="preserve"> «</w:t>
      </w:r>
      <w:r w:rsidR="00B374A2">
        <w:rPr>
          <w:rFonts w:ascii="Times New Roman" w:hAnsi="Times New Roman" w:cs="Times New Roman"/>
          <w:color w:val="000000"/>
          <w:sz w:val="28"/>
          <w:szCs w:val="28"/>
        </w:rPr>
        <w:t>Оцінка нерухомого майна</w:t>
      </w:r>
      <w:r w:rsidRPr="009F729B">
        <w:rPr>
          <w:rFonts w:ascii="Times New Roman" w:hAnsi="Times New Roman" w:cs="Times New Roman"/>
          <w:color w:val="000000"/>
          <w:sz w:val="28"/>
          <w:szCs w:val="28"/>
        </w:rPr>
        <w:t xml:space="preserve">» від </w:t>
      </w:r>
      <w:r w:rsidR="00B374A2">
        <w:rPr>
          <w:rFonts w:ascii="Times New Roman" w:hAnsi="Times New Roman" w:cs="Times New Roman"/>
          <w:color w:val="000000"/>
          <w:sz w:val="28"/>
          <w:szCs w:val="28"/>
        </w:rPr>
        <w:t>28</w:t>
      </w:r>
      <w:r w:rsidRPr="009F729B">
        <w:rPr>
          <w:rFonts w:ascii="Times New Roman" w:hAnsi="Times New Roman" w:cs="Times New Roman"/>
          <w:color w:val="000000"/>
          <w:sz w:val="28"/>
          <w:szCs w:val="28"/>
        </w:rPr>
        <w:t>.</w:t>
      </w:r>
      <w:r w:rsidR="00B374A2">
        <w:rPr>
          <w:rFonts w:ascii="Times New Roman" w:hAnsi="Times New Roman" w:cs="Times New Roman"/>
          <w:color w:val="000000"/>
          <w:sz w:val="28"/>
          <w:szCs w:val="28"/>
        </w:rPr>
        <w:t>10</w:t>
      </w:r>
      <w:r w:rsidRPr="009F729B">
        <w:rPr>
          <w:rFonts w:ascii="Times New Roman" w:hAnsi="Times New Roman" w:cs="Times New Roman"/>
          <w:color w:val="000000"/>
          <w:sz w:val="28"/>
          <w:szCs w:val="28"/>
        </w:rPr>
        <w:t>.200</w:t>
      </w:r>
      <w:r w:rsidR="00B374A2">
        <w:rPr>
          <w:rFonts w:ascii="Times New Roman" w:hAnsi="Times New Roman" w:cs="Times New Roman"/>
          <w:color w:val="000000"/>
          <w:sz w:val="28"/>
          <w:szCs w:val="28"/>
        </w:rPr>
        <w:t>4</w:t>
      </w:r>
      <w:r w:rsidRPr="009F729B">
        <w:rPr>
          <w:rFonts w:ascii="Times New Roman" w:hAnsi="Times New Roman" w:cs="Times New Roman"/>
          <w:color w:val="000000"/>
          <w:sz w:val="28"/>
          <w:szCs w:val="28"/>
        </w:rPr>
        <w:t xml:space="preserve"> г. № 144</w:t>
      </w:r>
      <w:r w:rsidR="00B374A2">
        <w:rPr>
          <w:rFonts w:ascii="Times New Roman" w:hAnsi="Times New Roman" w:cs="Times New Roman"/>
          <w:color w:val="000000"/>
          <w:sz w:val="28"/>
          <w:szCs w:val="28"/>
        </w:rPr>
        <w:t>2</w:t>
      </w:r>
      <w:r w:rsidRPr="009F729B">
        <w:rPr>
          <w:rFonts w:ascii="Times New Roman" w:hAnsi="Times New Roman" w:cs="Times New Roman"/>
          <w:color w:val="000000"/>
          <w:sz w:val="28"/>
          <w:szCs w:val="28"/>
        </w:rPr>
        <w:t>.</w:t>
      </w:r>
    </w:p>
    <w:p w:rsidR="00234C75" w:rsidRPr="00234C75" w:rsidRDefault="00234C75" w:rsidP="002B6C21">
      <w:pPr>
        <w:pStyle w:val="a6"/>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234C75">
        <w:rPr>
          <w:rFonts w:ascii="Times New Roman" w:hAnsi="Times New Roman" w:cs="Times New Roman"/>
          <w:color w:val="000000"/>
          <w:sz w:val="28"/>
          <w:szCs w:val="28"/>
        </w:rPr>
        <w:t>Положення про порядок формування та використання банками України резервів для відшкодування можливих втрат за активними банківськими операціями, затверджене постановою Правління Національного банку України від 25.01.2012 р. № 23 зі змінами та доповненнями.</w:t>
      </w:r>
    </w:p>
    <w:p w:rsidR="00D87E25" w:rsidRPr="00A66F0E" w:rsidRDefault="00A8155D" w:rsidP="002B6C21">
      <w:pPr>
        <w:pStyle w:val="a6"/>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9F729B">
        <w:rPr>
          <w:rFonts w:ascii="Times New Roman" w:hAnsi="Times New Roman" w:cs="Times New Roman"/>
          <w:color w:val="000000"/>
          <w:sz w:val="28"/>
          <w:szCs w:val="28"/>
        </w:rPr>
        <w:t xml:space="preserve"> </w:t>
      </w:r>
      <w:r w:rsidR="00D87E25" w:rsidRPr="009F729B">
        <w:rPr>
          <w:rFonts w:ascii="Times New Roman" w:hAnsi="Times New Roman" w:cs="Times New Roman"/>
          <w:color w:val="000000"/>
          <w:sz w:val="28"/>
          <w:szCs w:val="28"/>
        </w:rPr>
        <w:t>«</w:t>
      </w:r>
      <w:r w:rsidR="00D87E25">
        <w:rPr>
          <w:rFonts w:ascii="Times New Roman" w:hAnsi="Times New Roman" w:cs="Times New Roman"/>
          <w:color w:val="000000"/>
          <w:sz w:val="28"/>
          <w:szCs w:val="28"/>
          <w:lang w:val="ru-RU"/>
        </w:rPr>
        <w:t>М</w:t>
      </w:r>
      <w:proofErr w:type="spellStart"/>
      <w:r w:rsidR="00D87E25">
        <w:rPr>
          <w:rFonts w:ascii="Times New Roman" w:hAnsi="Times New Roman" w:cs="Times New Roman"/>
          <w:color w:val="000000"/>
          <w:sz w:val="28"/>
          <w:szCs w:val="28"/>
        </w:rPr>
        <w:t>іжнародні</w:t>
      </w:r>
      <w:proofErr w:type="spellEnd"/>
      <w:r w:rsidR="00D87E25">
        <w:rPr>
          <w:rFonts w:ascii="Times New Roman" w:hAnsi="Times New Roman" w:cs="Times New Roman"/>
          <w:color w:val="000000"/>
          <w:sz w:val="28"/>
          <w:szCs w:val="28"/>
        </w:rPr>
        <w:t xml:space="preserve"> стандарти оцінки</w:t>
      </w:r>
      <w:r w:rsidR="00D87E25" w:rsidRPr="009F729B">
        <w:rPr>
          <w:rFonts w:ascii="Times New Roman" w:hAnsi="Times New Roman" w:cs="Times New Roman"/>
          <w:color w:val="000000"/>
          <w:sz w:val="28"/>
          <w:szCs w:val="28"/>
        </w:rPr>
        <w:t>»</w:t>
      </w:r>
      <w:r w:rsidR="00D87E25">
        <w:rPr>
          <w:rFonts w:ascii="Times New Roman" w:hAnsi="Times New Roman" w:cs="Times New Roman"/>
          <w:color w:val="000000"/>
          <w:sz w:val="28"/>
          <w:szCs w:val="28"/>
        </w:rPr>
        <w:t xml:space="preserve">. Восьме видання, 2008/Пер. З англ. С.О. </w:t>
      </w:r>
      <w:proofErr w:type="spellStart"/>
      <w:r w:rsidR="00D87E25">
        <w:rPr>
          <w:rFonts w:ascii="Times New Roman" w:hAnsi="Times New Roman" w:cs="Times New Roman"/>
          <w:color w:val="000000"/>
          <w:sz w:val="28"/>
          <w:szCs w:val="28"/>
        </w:rPr>
        <w:t>Пузенка</w:t>
      </w:r>
      <w:proofErr w:type="spellEnd"/>
      <w:r w:rsidR="00D87E25">
        <w:rPr>
          <w:rFonts w:ascii="Times New Roman" w:hAnsi="Times New Roman" w:cs="Times New Roman"/>
          <w:color w:val="000000"/>
          <w:sz w:val="28"/>
          <w:szCs w:val="28"/>
        </w:rPr>
        <w:t xml:space="preserve">. – К.: </w:t>
      </w:r>
      <w:r w:rsidR="00D87E25" w:rsidRPr="009F729B">
        <w:rPr>
          <w:rFonts w:ascii="Times New Roman" w:hAnsi="Times New Roman" w:cs="Times New Roman"/>
          <w:color w:val="000000"/>
          <w:sz w:val="28"/>
          <w:szCs w:val="28"/>
        </w:rPr>
        <w:t>«</w:t>
      </w:r>
      <w:proofErr w:type="spellStart"/>
      <w:r w:rsidR="00D87E25">
        <w:rPr>
          <w:rFonts w:ascii="Times New Roman" w:hAnsi="Times New Roman" w:cs="Times New Roman"/>
          <w:color w:val="000000"/>
          <w:sz w:val="28"/>
          <w:szCs w:val="28"/>
        </w:rPr>
        <w:t>АртЕк</w:t>
      </w:r>
      <w:proofErr w:type="spellEnd"/>
      <w:r w:rsidR="00D87E25" w:rsidRPr="009F729B">
        <w:rPr>
          <w:rFonts w:ascii="Times New Roman" w:hAnsi="Times New Roman" w:cs="Times New Roman"/>
          <w:color w:val="000000"/>
          <w:sz w:val="28"/>
          <w:szCs w:val="28"/>
        </w:rPr>
        <w:t>»</w:t>
      </w:r>
      <w:r w:rsidR="00D87E25">
        <w:rPr>
          <w:rFonts w:ascii="Times New Roman" w:hAnsi="Times New Roman" w:cs="Times New Roman"/>
          <w:color w:val="000000"/>
          <w:sz w:val="28"/>
          <w:szCs w:val="28"/>
        </w:rPr>
        <w:t>, 2008.-432с.</w:t>
      </w:r>
    </w:p>
    <w:p w:rsidR="00A66F0E" w:rsidRPr="00BE202A" w:rsidRDefault="00BA6491" w:rsidP="0068709A">
      <w:pPr>
        <w:pStyle w:val="a6"/>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68709A">
        <w:rPr>
          <w:rFonts w:ascii="Times New Roman" w:hAnsi="Times New Roman" w:cs="Times New Roman"/>
          <w:color w:val="000000"/>
          <w:sz w:val="28"/>
          <w:szCs w:val="28"/>
        </w:rPr>
        <w:t>Журнал «</w:t>
      </w:r>
      <w:proofErr w:type="spellStart"/>
      <w:r w:rsidRPr="0068709A">
        <w:rPr>
          <w:rFonts w:ascii="Times New Roman" w:hAnsi="Times New Roman" w:cs="Times New Roman"/>
          <w:color w:val="000000"/>
          <w:sz w:val="28"/>
          <w:szCs w:val="28"/>
        </w:rPr>
        <w:t>Оценочная</w:t>
      </w:r>
      <w:proofErr w:type="spellEnd"/>
      <w:r w:rsidRPr="0068709A">
        <w:rPr>
          <w:rFonts w:ascii="Times New Roman" w:hAnsi="Times New Roman" w:cs="Times New Roman"/>
          <w:color w:val="000000"/>
          <w:sz w:val="28"/>
          <w:szCs w:val="28"/>
        </w:rPr>
        <w:t xml:space="preserve"> </w:t>
      </w:r>
      <w:proofErr w:type="spellStart"/>
      <w:r w:rsidRPr="0068709A">
        <w:rPr>
          <w:rFonts w:ascii="Times New Roman" w:hAnsi="Times New Roman" w:cs="Times New Roman"/>
          <w:color w:val="000000"/>
          <w:sz w:val="28"/>
          <w:szCs w:val="28"/>
        </w:rPr>
        <w:t>деятельность</w:t>
      </w:r>
      <w:proofErr w:type="spellEnd"/>
      <w:r w:rsidRPr="0068709A">
        <w:rPr>
          <w:rFonts w:ascii="Times New Roman" w:hAnsi="Times New Roman" w:cs="Times New Roman"/>
          <w:color w:val="000000"/>
          <w:sz w:val="28"/>
          <w:szCs w:val="28"/>
        </w:rPr>
        <w:t>» №1/2008</w:t>
      </w:r>
      <w:r>
        <w:rPr>
          <w:rFonts w:ascii="Times New Roman" w:hAnsi="Times New Roman" w:cs="Times New Roman"/>
          <w:color w:val="000000"/>
          <w:sz w:val="28"/>
          <w:szCs w:val="28"/>
          <w:lang w:val="ru-RU"/>
        </w:rPr>
        <w:t xml:space="preserve"> </w:t>
      </w:r>
      <w:proofErr w:type="spellStart"/>
      <w:r w:rsidR="00BE202A" w:rsidRPr="00BE202A">
        <w:rPr>
          <w:rFonts w:ascii="Times New Roman" w:hAnsi="Times New Roman" w:cs="Times New Roman"/>
          <w:color w:val="000000"/>
          <w:sz w:val="28"/>
          <w:szCs w:val="28"/>
        </w:rPr>
        <w:t>Цымбаленко</w:t>
      </w:r>
      <w:proofErr w:type="spellEnd"/>
      <w:r w:rsidR="00BE202A" w:rsidRPr="00BE202A">
        <w:rPr>
          <w:rFonts w:ascii="Times New Roman" w:hAnsi="Times New Roman" w:cs="Times New Roman"/>
          <w:color w:val="000000"/>
          <w:sz w:val="28"/>
          <w:szCs w:val="28"/>
        </w:rPr>
        <w:t xml:space="preserve"> С.В. </w:t>
      </w:r>
      <w:proofErr w:type="spellStart"/>
      <w:r w:rsidR="00BE202A" w:rsidRPr="00BE202A">
        <w:rPr>
          <w:rFonts w:ascii="Times New Roman" w:hAnsi="Times New Roman" w:cs="Times New Roman"/>
          <w:color w:val="000000"/>
          <w:sz w:val="28"/>
          <w:szCs w:val="28"/>
        </w:rPr>
        <w:t>Цымбаленко</w:t>
      </w:r>
      <w:proofErr w:type="spellEnd"/>
      <w:r w:rsidR="00BE202A" w:rsidRPr="00BE202A">
        <w:rPr>
          <w:rFonts w:ascii="Times New Roman" w:hAnsi="Times New Roman" w:cs="Times New Roman"/>
          <w:color w:val="000000"/>
          <w:sz w:val="28"/>
          <w:szCs w:val="28"/>
        </w:rPr>
        <w:t xml:space="preserve"> Т.Т. </w:t>
      </w:r>
      <w:proofErr w:type="spellStart"/>
      <w:r w:rsidR="00BE202A" w:rsidRPr="00BE202A">
        <w:rPr>
          <w:rFonts w:ascii="Times New Roman" w:hAnsi="Times New Roman" w:cs="Times New Roman"/>
          <w:color w:val="000000"/>
          <w:sz w:val="28"/>
          <w:szCs w:val="28"/>
        </w:rPr>
        <w:t>Погорелов</w:t>
      </w:r>
      <w:proofErr w:type="spellEnd"/>
      <w:r w:rsidR="00BE202A" w:rsidRPr="00BE202A">
        <w:rPr>
          <w:rFonts w:ascii="Times New Roman" w:hAnsi="Times New Roman" w:cs="Times New Roman"/>
          <w:color w:val="000000"/>
          <w:sz w:val="28"/>
          <w:szCs w:val="28"/>
        </w:rPr>
        <w:t xml:space="preserve"> В.Н. </w:t>
      </w:r>
      <w:r w:rsidR="00BE202A" w:rsidRPr="009F729B">
        <w:rPr>
          <w:rFonts w:ascii="Times New Roman" w:hAnsi="Times New Roman" w:cs="Times New Roman"/>
          <w:color w:val="000000"/>
          <w:sz w:val="28"/>
          <w:szCs w:val="28"/>
        </w:rPr>
        <w:t>«</w:t>
      </w:r>
      <w:proofErr w:type="spellStart"/>
      <w:r w:rsidR="00BE202A" w:rsidRPr="00BE202A">
        <w:rPr>
          <w:rFonts w:ascii="Times New Roman" w:hAnsi="Times New Roman" w:cs="Times New Roman"/>
          <w:color w:val="000000"/>
          <w:sz w:val="28"/>
          <w:szCs w:val="28"/>
        </w:rPr>
        <w:t>Определение</w:t>
      </w:r>
      <w:proofErr w:type="spellEnd"/>
      <w:r w:rsidR="00BE202A" w:rsidRPr="00BE202A">
        <w:rPr>
          <w:rFonts w:ascii="Times New Roman" w:hAnsi="Times New Roman" w:cs="Times New Roman"/>
          <w:color w:val="000000"/>
          <w:sz w:val="28"/>
          <w:szCs w:val="28"/>
        </w:rPr>
        <w:t xml:space="preserve"> </w:t>
      </w:r>
      <w:proofErr w:type="spellStart"/>
      <w:r w:rsidR="00BE202A" w:rsidRPr="00BE202A">
        <w:rPr>
          <w:rFonts w:ascii="Times New Roman" w:hAnsi="Times New Roman" w:cs="Times New Roman"/>
          <w:color w:val="000000"/>
          <w:sz w:val="28"/>
          <w:szCs w:val="28"/>
        </w:rPr>
        <w:t>ликвидационной</w:t>
      </w:r>
      <w:proofErr w:type="spellEnd"/>
      <w:r w:rsidR="00BE202A" w:rsidRPr="00BE202A">
        <w:rPr>
          <w:rFonts w:ascii="Times New Roman" w:hAnsi="Times New Roman" w:cs="Times New Roman"/>
          <w:color w:val="000000"/>
          <w:sz w:val="28"/>
          <w:szCs w:val="28"/>
        </w:rPr>
        <w:t xml:space="preserve"> </w:t>
      </w:r>
      <w:proofErr w:type="spellStart"/>
      <w:r w:rsidR="00BE202A" w:rsidRPr="00BE202A">
        <w:rPr>
          <w:rFonts w:ascii="Times New Roman" w:hAnsi="Times New Roman" w:cs="Times New Roman"/>
          <w:color w:val="000000"/>
          <w:sz w:val="28"/>
          <w:szCs w:val="28"/>
        </w:rPr>
        <w:t>стоимости</w:t>
      </w:r>
      <w:proofErr w:type="spellEnd"/>
      <w:r w:rsidR="00BE202A" w:rsidRPr="0068709A">
        <w:rPr>
          <w:rFonts w:ascii="Times New Roman" w:hAnsi="Times New Roman" w:cs="Times New Roman"/>
          <w:color w:val="000000"/>
          <w:sz w:val="28"/>
          <w:szCs w:val="28"/>
        </w:rPr>
        <w:t xml:space="preserve"> </w:t>
      </w:r>
      <w:proofErr w:type="spellStart"/>
      <w:r w:rsidR="00BE202A" w:rsidRPr="00BE202A">
        <w:rPr>
          <w:rFonts w:ascii="Times New Roman" w:hAnsi="Times New Roman" w:cs="Times New Roman"/>
          <w:color w:val="000000"/>
          <w:sz w:val="28"/>
          <w:szCs w:val="28"/>
        </w:rPr>
        <w:t>объектов</w:t>
      </w:r>
      <w:proofErr w:type="spellEnd"/>
      <w:r w:rsidR="00BE202A" w:rsidRPr="00BE202A">
        <w:rPr>
          <w:rFonts w:ascii="Times New Roman" w:hAnsi="Times New Roman" w:cs="Times New Roman"/>
          <w:color w:val="000000"/>
          <w:sz w:val="28"/>
          <w:szCs w:val="28"/>
        </w:rPr>
        <w:t xml:space="preserve"> </w:t>
      </w:r>
      <w:proofErr w:type="spellStart"/>
      <w:r w:rsidR="00BE202A" w:rsidRPr="00BE202A">
        <w:rPr>
          <w:rFonts w:ascii="Times New Roman" w:hAnsi="Times New Roman" w:cs="Times New Roman"/>
          <w:color w:val="000000"/>
          <w:sz w:val="28"/>
          <w:szCs w:val="28"/>
        </w:rPr>
        <w:t>недвижимости</w:t>
      </w:r>
      <w:proofErr w:type="spellEnd"/>
      <w:r w:rsidR="00BE202A" w:rsidRPr="00BE202A">
        <w:rPr>
          <w:rFonts w:ascii="Times New Roman" w:hAnsi="Times New Roman" w:cs="Times New Roman"/>
          <w:color w:val="000000"/>
          <w:sz w:val="28"/>
          <w:szCs w:val="28"/>
        </w:rPr>
        <w:t xml:space="preserve"> в АПК</w:t>
      </w:r>
      <w:r w:rsidR="00BE202A" w:rsidRPr="009F729B">
        <w:rPr>
          <w:rFonts w:ascii="Times New Roman" w:hAnsi="Times New Roman" w:cs="Times New Roman"/>
          <w:color w:val="000000"/>
          <w:sz w:val="28"/>
          <w:szCs w:val="28"/>
        </w:rPr>
        <w:t>»</w:t>
      </w:r>
      <w:r w:rsidR="00BE202A" w:rsidRPr="00BE202A">
        <w:rPr>
          <w:rFonts w:ascii="Times New Roman" w:hAnsi="Times New Roman" w:cs="Times New Roman"/>
          <w:color w:val="000000"/>
          <w:sz w:val="28"/>
          <w:szCs w:val="28"/>
        </w:rPr>
        <w:t xml:space="preserve"> [електронний ресурс]; метод доступу: </w:t>
      </w:r>
      <w:r w:rsidR="0068709A" w:rsidRPr="0068709A">
        <w:rPr>
          <w:rFonts w:ascii="Times New Roman" w:hAnsi="Times New Roman" w:cs="Times New Roman"/>
          <w:color w:val="000000"/>
          <w:sz w:val="28"/>
          <w:szCs w:val="28"/>
        </w:rPr>
        <w:t>http://smao.ru/files/magazine/2008/01/1_56-59.pdf</w:t>
      </w:r>
    </w:p>
    <w:p w:rsidR="0039225A" w:rsidRPr="009F729B" w:rsidRDefault="0039225A" w:rsidP="00A30E5A">
      <w:pPr>
        <w:shd w:val="clear" w:color="auto" w:fill="FFFFFF"/>
        <w:autoSpaceDE w:val="0"/>
        <w:autoSpaceDN w:val="0"/>
        <w:adjustRightInd w:val="0"/>
        <w:spacing w:after="0" w:line="360" w:lineRule="auto"/>
        <w:jc w:val="both"/>
        <w:rPr>
          <w:rFonts w:ascii="Times New Roman" w:hAnsi="Times New Roman" w:cs="Times New Roman"/>
          <w:sz w:val="28"/>
          <w:szCs w:val="28"/>
        </w:rPr>
      </w:pPr>
    </w:p>
    <w:sectPr w:rsidR="0039225A" w:rsidRPr="009F729B" w:rsidSect="00A30E5A">
      <w:pgSz w:w="11906" w:h="16838"/>
      <w:pgMar w:top="850" w:right="991"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evin Cyrillic">
    <w:altName w:val="Calibri"/>
    <w:charset w:val="CC"/>
    <w:family w:val="swiss"/>
    <w:pitch w:val="variable"/>
    <w:sig w:usb0="00000001" w:usb1="0000004A"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6464C"/>
    <w:multiLevelType w:val="hybridMultilevel"/>
    <w:tmpl w:val="C4684AD4"/>
    <w:lvl w:ilvl="0" w:tplc="90F47A0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1C4A0913"/>
    <w:multiLevelType w:val="hybridMultilevel"/>
    <w:tmpl w:val="D800F04A"/>
    <w:lvl w:ilvl="0" w:tplc="676E4BC6">
      <w:start w:val="9"/>
      <w:numFmt w:val="bullet"/>
      <w:lvlText w:val="-"/>
      <w:lvlJc w:val="left"/>
      <w:pPr>
        <w:ind w:left="1380" w:hanging="360"/>
      </w:pPr>
      <w:rPr>
        <w:rFonts w:ascii="Times New Roman" w:eastAsia="Times New Roman" w:hAnsi="Times New Roman" w:cs="Times New Roman" w:hint="default"/>
      </w:rPr>
    </w:lvl>
    <w:lvl w:ilvl="1" w:tplc="04220003" w:tentative="1">
      <w:start w:val="1"/>
      <w:numFmt w:val="bullet"/>
      <w:lvlText w:val="o"/>
      <w:lvlJc w:val="left"/>
      <w:pPr>
        <w:ind w:left="2100" w:hanging="360"/>
      </w:pPr>
      <w:rPr>
        <w:rFonts w:ascii="Courier New" w:hAnsi="Courier New" w:cs="Courier New" w:hint="default"/>
      </w:rPr>
    </w:lvl>
    <w:lvl w:ilvl="2" w:tplc="04220005" w:tentative="1">
      <w:start w:val="1"/>
      <w:numFmt w:val="bullet"/>
      <w:lvlText w:val=""/>
      <w:lvlJc w:val="left"/>
      <w:pPr>
        <w:ind w:left="2820" w:hanging="360"/>
      </w:pPr>
      <w:rPr>
        <w:rFonts w:ascii="Wingdings" w:hAnsi="Wingdings" w:hint="default"/>
      </w:rPr>
    </w:lvl>
    <w:lvl w:ilvl="3" w:tplc="04220001" w:tentative="1">
      <w:start w:val="1"/>
      <w:numFmt w:val="bullet"/>
      <w:lvlText w:val=""/>
      <w:lvlJc w:val="left"/>
      <w:pPr>
        <w:ind w:left="3540" w:hanging="360"/>
      </w:pPr>
      <w:rPr>
        <w:rFonts w:ascii="Symbol" w:hAnsi="Symbol" w:hint="default"/>
      </w:rPr>
    </w:lvl>
    <w:lvl w:ilvl="4" w:tplc="04220003" w:tentative="1">
      <w:start w:val="1"/>
      <w:numFmt w:val="bullet"/>
      <w:lvlText w:val="o"/>
      <w:lvlJc w:val="left"/>
      <w:pPr>
        <w:ind w:left="4260" w:hanging="360"/>
      </w:pPr>
      <w:rPr>
        <w:rFonts w:ascii="Courier New" w:hAnsi="Courier New" w:cs="Courier New" w:hint="default"/>
      </w:rPr>
    </w:lvl>
    <w:lvl w:ilvl="5" w:tplc="04220005" w:tentative="1">
      <w:start w:val="1"/>
      <w:numFmt w:val="bullet"/>
      <w:lvlText w:val=""/>
      <w:lvlJc w:val="left"/>
      <w:pPr>
        <w:ind w:left="4980" w:hanging="360"/>
      </w:pPr>
      <w:rPr>
        <w:rFonts w:ascii="Wingdings" w:hAnsi="Wingdings" w:hint="default"/>
      </w:rPr>
    </w:lvl>
    <w:lvl w:ilvl="6" w:tplc="04220001" w:tentative="1">
      <w:start w:val="1"/>
      <w:numFmt w:val="bullet"/>
      <w:lvlText w:val=""/>
      <w:lvlJc w:val="left"/>
      <w:pPr>
        <w:ind w:left="5700" w:hanging="360"/>
      </w:pPr>
      <w:rPr>
        <w:rFonts w:ascii="Symbol" w:hAnsi="Symbol" w:hint="default"/>
      </w:rPr>
    </w:lvl>
    <w:lvl w:ilvl="7" w:tplc="04220003" w:tentative="1">
      <w:start w:val="1"/>
      <w:numFmt w:val="bullet"/>
      <w:lvlText w:val="o"/>
      <w:lvlJc w:val="left"/>
      <w:pPr>
        <w:ind w:left="6420" w:hanging="360"/>
      </w:pPr>
      <w:rPr>
        <w:rFonts w:ascii="Courier New" w:hAnsi="Courier New" w:cs="Courier New" w:hint="default"/>
      </w:rPr>
    </w:lvl>
    <w:lvl w:ilvl="8" w:tplc="04220005" w:tentative="1">
      <w:start w:val="1"/>
      <w:numFmt w:val="bullet"/>
      <w:lvlText w:val=""/>
      <w:lvlJc w:val="left"/>
      <w:pPr>
        <w:ind w:left="7140" w:hanging="360"/>
      </w:pPr>
      <w:rPr>
        <w:rFonts w:ascii="Wingdings" w:hAnsi="Wingdings" w:hint="default"/>
      </w:rPr>
    </w:lvl>
  </w:abstractNum>
  <w:abstractNum w:abstractNumId="2">
    <w:nsid w:val="2F034773"/>
    <w:multiLevelType w:val="hybridMultilevel"/>
    <w:tmpl w:val="B43A9774"/>
    <w:lvl w:ilvl="0" w:tplc="6E367B34">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A740AA4"/>
    <w:multiLevelType w:val="multilevel"/>
    <w:tmpl w:val="30BC03C6"/>
    <w:lvl w:ilvl="0">
      <w:start w:val="1"/>
      <w:numFmt w:val="decimal"/>
      <w:lvlText w:val="4.3.%1."/>
      <w:lvlJc w:val="left"/>
      <w:pPr>
        <w:tabs>
          <w:tab w:val="num" w:pos="432"/>
        </w:tabs>
        <w:ind w:left="432" w:hanging="432"/>
      </w:pPr>
      <w:rPr>
        <w:rFonts w:hint="default"/>
      </w:rPr>
    </w:lvl>
    <w:lvl w:ilvl="1">
      <w:start w:val="1"/>
      <w:numFmt w:val="decimal"/>
      <w:pStyle w:val="2"/>
      <w:lvlText w:val="%1.%2."/>
      <w:lvlJc w:val="left"/>
      <w:pPr>
        <w:tabs>
          <w:tab w:val="num" w:pos="756"/>
        </w:tabs>
        <w:ind w:left="756" w:hanging="576"/>
      </w:pPr>
      <w:rPr>
        <w:rFonts w:ascii="Chevin Cyrillic" w:hAnsi="Chevin Cyrillic" w:hint="default"/>
        <w:b w:val="0"/>
        <w:i w:val="0"/>
        <w:color w:val="auto"/>
        <w:sz w:val="22"/>
        <w:szCs w:val="22"/>
      </w:rPr>
    </w:lvl>
    <w:lvl w:ilvl="2">
      <w:start w:val="1"/>
      <w:numFmt w:val="decimal"/>
      <w:lvlText w:val="6.1.%3."/>
      <w:lvlJc w:val="left"/>
      <w:pPr>
        <w:tabs>
          <w:tab w:val="num" w:pos="720"/>
        </w:tabs>
        <w:ind w:left="720" w:hanging="720"/>
      </w:pPr>
      <w:rPr>
        <w:rFonts w:hint="default"/>
      </w:rPr>
    </w:lvl>
    <w:lvl w:ilvl="3">
      <w:start w:val="1"/>
      <w:numFmt w:val="decimal"/>
      <w:lvlText w:val="4.4.9.%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4C767EB9"/>
    <w:multiLevelType w:val="hybridMultilevel"/>
    <w:tmpl w:val="11B4756E"/>
    <w:lvl w:ilvl="0" w:tplc="726AEC7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4D04614D"/>
    <w:multiLevelType w:val="hybridMultilevel"/>
    <w:tmpl w:val="09C2A6D2"/>
    <w:lvl w:ilvl="0" w:tplc="BC22002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4F3579B9"/>
    <w:multiLevelType w:val="hybridMultilevel"/>
    <w:tmpl w:val="E64A61AE"/>
    <w:lvl w:ilvl="0" w:tplc="0422000F">
      <w:start w:val="1"/>
      <w:numFmt w:val="decimal"/>
      <w:lvlText w:val="%1."/>
      <w:lvlJc w:val="left"/>
      <w:pPr>
        <w:ind w:left="2061" w:hanging="360"/>
      </w:pPr>
      <w:rPr>
        <w:rFonts w:hint="default"/>
      </w:rPr>
    </w:lvl>
    <w:lvl w:ilvl="1" w:tplc="04220019" w:tentative="1">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7">
    <w:nsid w:val="5A693986"/>
    <w:multiLevelType w:val="hybridMultilevel"/>
    <w:tmpl w:val="0E2298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5D61859"/>
    <w:multiLevelType w:val="hybridMultilevel"/>
    <w:tmpl w:val="B5D2B6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8"/>
  </w:num>
  <w:num w:numId="5">
    <w:abstractNumId w:val="1"/>
  </w:num>
  <w:num w:numId="6">
    <w:abstractNumId w:val="7"/>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3379A"/>
    <w:rsid w:val="000029EB"/>
    <w:rsid w:val="000063E9"/>
    <w:rsid w:val="00010B81"/>
    <w:rsid w:val="00012C02"/>
    <w:rsid w:val="000154A4"/>
    <w:rsid w:val="0002204C"/>
    <w:rsid w:val="00022481"/>
    <w:rsid w:val="0003067B"/>
    <w:rsid w:val="0003305B"/>
    <w:rsid w:val="00036C3F"/>
    <w:rsid w:val="000401E0"/>
    <w:rsid w:val="0004056E"/>
    <w:rsid w:val="00043988"/>
    <w:rsid w:val="000632BD"/>
    <w:rsid w:val="00064B1A"/>
    <w:rsid w:val="000660B8"/>
    <w:rsid w:val="00067013"/>
    <w:rsid w:val="00072029"/>
    <w:rsid w:val="0007299D"/>
    <w:rsid w:val="00074F36"/>
    <w:rsid w:val="0008028D"/>
    <w:rsid w:val="00083507"/>
    <w:rsid w:val="000910C1"/>
    <w:rsid w:val="00095C2E"/>
    <w:rsid w:val="000964E6"/>
    <w:rsid w:val="00096EC7"/>
    <w:rsid w:val="000A346C"/>
    <w:rsid w:val="000A3BA7"/>
    <w:rsid w:val="000A60A4"/>
    <w:rsid w:val="000A7D44"/>
    <w:rsid w:val="000C2432"/>
    <w:rsid w:val="000C430B"/>
    <w:rsid w:val="000C6EB2"/>
    <w:rsid w:val="000C7A4E"/>
    <w:rsid w:val="000C7F97"/>
    <w:rsid w:val="000D68FE"/>
    <w:rsid w:val="000D6FEB"/>
    <w:rsid w:val="000D7ECA"/>
    <w:rsid w:val="000E1FA9"/>
    <w:rsid w:val="000E37BE"/>
    <w:rsid w:val="000E47EF"/>
    <w:rsid w:val="000E5BF2"/>
    <w:rsid w:val="000F3776"/>
    <w:rsid w:val="000F498D"/>
    <w:rsid w:val="000F5E22"/>
    <w:rsid w:val="000F763C"/>
    <w:rsid w:val="00101861"/>
    <w:rsid w:val="00102739"/>
    <w:rsid w:val="00110B3A"/>
    <w:rsid w:val="00110D56"/>
    <w:rsid w:val="001119D8"/>
    <w:rsid w:val="00111AC0"/>
    <w:rsid w:val="00114EE6"/>
    <w:rsid w:val="001200F0"/>
    <w:rsid w:val="001216CF"/>
    <w:rsid w:val="00122997"/>
    <w:rsid w:val="001241D2"/>
    <w:rsid w:val="0012484D"/>
    <w:rsid w:val="00130A41"/>
    <w:rsid w:val="001341CC"/>
    <w:rsid w:val="001413AA"/>
    <w:rsid w:val="00143499"/>
    <w:rsid w:val="00144CF5"/>
    <w:rsid w:val="00146DA9"/>
    <w:rsid w:val="001507E5"/>
    <w:rsid w:val="00151FA5"/>
    <w:rsid w:val="00152A79"/>
    <w:rsid w:val="00170D91"/>
    <w:rsid w:val="00171527"/>
    <w:rsid w:val="00171F42"/>
    <w:rsid w:val="0017469C"/>
    <w:rsid w:val="00177787"/>
    <w:rsid w:val="00183C72"/>
    <w:rsid w:val="0018537D"/>
    <w:rsid w:val="00185FFE"/>
    <w:rsid w:val="001901E3"/>
    <w:rsid w:val="00190764"/>
    <w:rsid w:val="00197EA8"/>
    <w:rsid w:val="001A16FD"/>
    <w:rsid w:val="001A1FB6"/>
    <w:rsid w:val="001A29C1"/>
    <w:rsid w:val="001A7E17"/>
    <w:rsid w:val="001B08EB"/>
    <w:rsid w:val="001B615E"/>
    <w:rsid w:val="001B6F96"/>
    <w:rsid w:val="001C31C6"/>
    <w:rsid w:val="001D1C45"/>
    <w:rsid w:val="001D3354"/>
    <w:rsid w:val="001E24FB"/>
    <w:rsid w:val="001E638A"/>
    <w:rsid w:val="001F6A1F"/>
    <w:rsid w:val="0020166E"/>
    <w:rsid w:val="00212741"/>
    <w:rsid w:val="002158ED"/>
    <w:rsid w:val="00215B69"/>
    <w:rsid w:val="00224704"/>
    <w:rsid w:val="00230703"/>
    <w:rsid w:val="0023438A"/>
    <w:rsid w:val="002347FE"/>
    <w:rsid w:val="00234C75"/>
    <w:rsid w:val="002404CB"/>
    <w:rsid w:val="00246DA7"/>
    <w:rsid w:val="00251F2D"/>
    <w:rsid w:val="00256AAE"/>
    <w:rsid w:val="00267549"/>
    <w:rsid w:val="00267E2A"/>
    <w:rsid w:val="002716F7"/>
    <w:rsid w:val="002759C6"/>
    <w:rsid w:val="00275CE5"/>
    <w:rsid w:val="00276A34"/>
    <w:rsid w:val="00282A23"/>
    <w:rsid w:val="00284A16"/>
    <w:rsid w:val="00285608"/>
    <w:rsid w:val="002901EB"/>
    <w:rsid w:val="00290E49"/>
    <w:rsid w:val="00294B89"/>
    <w:rsid w:val="00296BB3"/>
    <w:rsid w:val="00297507"/>
    <w:rsid w:val="002978B3"/>
    <w:rsid w:val="002A5332"/>
    <w:rsid w:val="002B1744"/>
    <w:rsid w:val="002B52DA"/>
    <w:rsid w:val="002B6C21"/>
    <w:rsid w:val="002C1EC3"/>
    <w:rsid w:val="002C75BE"/>
    <w:rsid w:val="002D0792"/>
    <w:rsid w:val="002D27BB"/>
    <w:rsid w:val="002E14E8"/>
    <w:rsid w:val="002E1C09"/>
    <w:rsid w:val="002E7609"/>
    <w:rsid w:val="002E7C87"/>
    <w:rsid w:val="002F00AD"/>
    <w:rsid w:val="002F2C83"/>
    <w:rsid w:val="002F3628"/>
    <w:rsid w:val="002F3651"/>
    <w:rsid w:val="002F3BF1"/>
    <w:rsid w:val="002F5904"/>
    <w:rsid w:val="002F67F3"/>
    <w:rsid w:val="00300B09"/>
    <w:rsid w:val="00303048"/>
    <w:rsid w:val="0030524D"/>
    <w:rsid w:val="00307833"/>
    <w:rsid w:val="00316B22"/>
    <w:rsid w:val="00320839"/>
    <w:rsid w:val="00323E5A"/>
    <w:rsid w:val="003253C9"/>
    <w:rsid w:val="0033296D"/>
    <w:rsid w:val="00340DBA"/>
    <w:rsid w:val="003459D5"/>
    <w:rsid w:val="00351EAD"/>
    <w:rsid w:val="00353301"/>
    <w:rsid w:val="00375577"/>
    <w:rsid w:val="00380C7E"/>
    <w:rsid w:val="00387D4D"/>
    <w:rsid w:val="00391337"/>
    <w:rsid w:val="0039225A"/>
    <w:rsid w:val="00392323"/>
    <w:rsid w:val="00392522"/>
    <w:rsid w:val="00396665"/>
    <w:rsid w:val="003A220A"/>
    <w:rsid w:val="003A2457"/>
    <w:rsid w:val="003A53C0"/>
    <w:rsid w:val="003A5519"/>
    <w:rsid w:val="003B01D2"/>
    <w:rsid w:val="003B5A77"/>
    <w:rsid w:val="003B6CE5"/>
    <w:rsid w:val="003C18E0"/>
    <w:rsid w:val="003C2FD8"/>
    <w:rsid w:val="003D3B2D"/>
    <w:rsid w:val="003D4219"/>
    <w:rsid w:val="003D4D78"/>
    <w:rsid w:val="003D6534"/>
    <w:rsid w:val="003E059B"/>
    <w:rsid w:val="003E2E32"/>
    <w:rsid w:val="003E5681"/>
    <w:rsid w:val="003E788D"/>
    <w:rsid w:val="003F44F1"/>
    <w:rsid w:val="003F629A"/>
    <w:rsid w:val="004016B6"/>
    <w:rsid w:val="00401DD8"/>
    <w:rsid w:val="0040251E"/>
    <w:rsid w:val="004150F9"/>
    <w:rsid w:val="0041624B"/>
    <w:rsid w:val="00422256"/>
    <w:rsid w:val="00423B3F"/>
    <w:rsid w:val="00432D0D"/>
    <w:rsid w:val="00432D3A"/>
    <w:rsid w:val="0043703C"/>
    <w:rsid w:val="004374C2"/>
    <w:rsid w:val="00440F51"/>
    <w:rsid w:val="00441D0C"/>
    <w:rsid w:val="00442125"/>
    <w:rsid w:val="004422A0"/>
    <w:rsid w:val="00442573"/>
    <w:rsid w:val="0044520E"/>
    <w:rsid w:val="00455F65"/>
    <w:rsid w:val="004628FE"/>
    <w:rsid w:val="00465AE4"/>
    <w:rsid w:val="00483DD1"/>
    <w:rsid w:val="00484662"/>
    <w:rsid w:val="004846BE"/>
    <w:rsid w:val="0048612E"/>
    <w:rsid w:val="00493F80"/>
    <w:rsid w:val="0049699D"/>
    <w:rsid w:val="00497546"/>
    <w:rsid w:val="004A1A8B"/>
    <w:rsid w:val="004A295E"/>
    <w:rsid w:val="004A5FDE"/>
    <w:rsid w:val="004A641F"/>
    <w:rsid w:val="004B0F02"/>
    <w:rsid w:val="004B2288"/>
    <w:rsid w:val="004B287D"/>
    <w:rsid w:val="004B2A64"/>
    <w:rsid w:val="004B308D"/>
    <w:rsid w:val="004B37CB"/>
    <w:rsid w:val="004B39C5"/>
    <w:rsid w:val="004B4276"/>
    <w:rsid w:val="004B69A7"/>
    <w:rsid w:val="004B6B32"/>
    <w:rsid w:val="004C4450"/>
    <w:rsid w:val="004C572A"/>
    <w:rsid w:val="004C6C72"/>
    <w:rsid w:val="004D074A"/>
    <w:rsid w:val="004D2724"/>
    <w:rsid w:val="004E0553"/>
    <w:rsid w:val="004E3EFF"/>
    <w:rsid w:val="004E6A6C"/>
    <w:rsid w:val="004E7512"/>
    <w:rsid w:val="004F12D6"/>
    <w:rsid w:val="004F2AE1"/>
    <w:rsid w:val="00501D0E"/>
    <w:rsid w:val="0051496E"/>
    <w:rsid w:val="00516EE4"/>
    <w:rsid w:val="005177E0"/>
    <w:rsid w:val="00523137"/>
    <w:rsid w:val="005231A3"/>
    <w:rsid w:val="00530FFD"/>
    <w:rsid w:val="00531582"/>
    <w:rsid w:val="00531E18"/>
    <w:rsid w:val="00533127"/>
    <w:rsid w:val="00533879"/>
    <w:rsid w:val="005338C5"/>
    <w:rsid w:val="00540115"/>
    <w:rsid w:val="005440B9"/>
    <w:rsid w:val="00544DC7"/>
    <w:rsid w:val="00546363"/>
    <w:rsid w:val="005500D8"/>
    <w:rsid w:val="00551A2D"/>
    <w:rsid w:val="00552AC8"/>
    <w:rsid w:val="00557F73"/>
    <w:rsid w:val="00560E31"/>
    <w:rsid w:val="00564A20"/>
    <w:rsid w:val="00574623"/>
    <w:rsid w:val="00583695"/>
    <w:rsid w:val="0059050F"/>
    <w:rsid w:val="00590F59"/>
    <w:rsid w:val="00591870"/>
    <w:rsid w:val="00593FDF"/>
    <w:rsid w:val="005955D7"/>
    <w:rsid w:val="00596E08"/>
    <w:rsid w:val="005971C9"/>
    <w:rsid w:val="005A046B"/>
    <w:rsid w:val="005A5542"/>
    <w:rsid w:val="005B3966"/>
    <w:rsid w:val="005B4694"/>
    <w:rsid w:val="005B70DA"/>
    <w:rsid w:val="005C2960"/>
    <w:rsid w:val="005C30DD"/>
    <w:rsid w:val="005C4097"/>
    <w:rsid w:val="005C737A"/>
    <w:rsid w:val="005D1225"/>
    <w:rsid w:val="005E0F1D"/>
    <w:rsid w:val="005F2A51"/>
    <w:rsid w:val="005F4063"/>
    <w:rsid w:val="005F68DC"/>
    <w:rsid w:val="005F716F"/>
    <w:rsid w:val="006042DA"/>
    <w:rsid w:val="0061373E"/>
    <w:rsid w:val="006203D9"/>
    <w:rsid w:val="00623930"/>
    <w:rsid w:val="00623941"/>
    <w:rsid w:val="00625251"/>
    <w:rsid w:val="00625DEB"/>
    <w:rsid w:val="00626214"/>
    <w:rsid w:val="0063149E"/>
    <w:rsid w:val="006329EF"/>
    <w:rsid w:val="0065354B"/>
    <w:rsid w:val="00654CE0"/>
    <w:rsid w:val="00656208"/>
    <w:rsid w:val="006563F7"/>
    <w:rsid w:val="00660E3A"/>
    <w:rsid w:val="006703D6"/>
    <w:rsid w:val="00670E18"/>
    <w:rsid w:val="00676C2D"/>
    <w:rsid w:val="00676C4A"/>
    <w:rsid w:val="00680F6D"/>
    <w:rsid w:val="0068316D"/>
    <w:rsid w:val="00684109"/>
    <w:rsid w:val="0068421A"/>
    <w:rsid w:val="0068709A"/>
    <w:rsid w:val="00694E01"/>
    <w:rsid w:val="006A4B86"/>
    <w:rsid w:val="006B165E"/>
    <w:rsid w:val="006B5094"/>
    <w:rsid w:val="006C070D"/>
    <w:rsid w:val="006C51EF"/>
    <w:rsid w:val="006C5803"/>
    <w:rsid w:val="006D1655"/>
    <w:rsid w:val="006D36FE"/>
    <w:rsid w:val="006D3EF1"/>
    <w:rsid w:val="006D5D7A"/>
    <w:rsid w:val="006E60D5"/>
    <w:rsid w:val="006E75BB"/>
    <w:rsid w:val="006F1D4A"/>
    <w:rsid w:val="006F238F"/>
    <w:rsid w:val="006F6A1D"/>
    <w:rsid w:val="007012B3"/>
    <w:rsid w:val="007071CB"/>
    <w:rsid w:val="00707A55"/>
    <w:rsid w:val="00717034"/>
    <w:rsid w:val="007222C5"/>
    <w:rsid w:val="0072347C"/>
    <w:rsid w:val="00724235"/>
    <w:rsid w:val="007263E0"/>
    <w:rsid w:val="0072672C"/>
    <w:rsid w:val="00726EA4"/>
    <w:rsid w:val="007278EE"/>
    <w:rsid w:val="00734EB6"/>
    <w:rsid w:val="00735548"/>
    <w:rsid w:val="007433BC"/>
    <w:rsid w:val="007470AA"/>
    <w:rsid w:val="007476FD"/>
    <w:rsid w:val="00750C91"/>
    <w:rsid w:val="00751DB4"/>
    <w:rsid w:val="00752943"/>
    <w:rsid w:val="00752EE8"/>
    <w:rsid w:val="00753F70"/>
    <w:rsid w:val="00754AFA"/>
    <w:rsid w:val="007551D8"/>
    <w:rsid w:val="00756D17"/>
    <w:rsid w:val="00757D12"/>
    <w:rsid w:val="00760CB6"/>
    <w:rsid w:val="00763B52"/>
    <w:rsid w:val="00767E43"/>
    <w:rsid w:val="007706BB"/>
    <w:rsid w:val="007707BC"/>
    <w:rsid w:val="00770F6B"/>
    <w:rsid w:val="00775AA5"/>
    <w:rsid w:val="007810F8"/>
    <w:rsid w:val="00782AA3"/>
    <w:rsid w:val="00792314"/>
    <w:rsid w:val="0079256D"/>
    <w:rsid w:val="00792D2C"/>
    <w:rsid w:val="00793EAF"/>
    <w:rsid w:val="007944D0"/>
    <w:rsid w:val="00796A16"/>
    <w:rsid w:val="00796A7D"/>
    <w:rsid w:val="007A407E"/>
    <w:rsid w:val="007A6F41"/>
    <w:rsid w:val="007A7F95"/>
    <w:rsid w:val="007B1454"/>
    <w:rsid w:val="007B47D9"/>
    <w:rsid w:val="007B7A52"/>
    <w:rsid w:val="007C29B3"/>
    <w:rsid w:val="007C41AA"/>
    <w:rsid w:val="007D082D"/>
    <w:rsid w:val="007D25A7"/>
    <w:rsid w:val="007D2E34"/>
    <w:rsid w:val="007D663D"/>
    <w:rsid w:val="007D73FC"/>
    <w:rsid w:val="007E11A7"/>
    <w:rsid w:val="007E36A5"/>
    <w:rsid w:val="007E64C6"/>
    <w:rsid w:val="007F3EDE"/>
    <w:rsid w:val="007F6555"/>
    <w:rsid w:val="007F790D"/>
    <w:rsid w:val="00801BB7"/>
    <w:rsid w:val="00801C8E"/>
    <w:rsid w:val="008030FC"/>
    <w:rsid w:val="008117DF"/>
    <w:rsid w:val="00815F4B"/>
    <w:rsid w:val="00820D68"/>
    <w:rsid w:val="008313BF"/>
    <w:rsid w:val="008314D0"/>
    <w:rsid w:val="00835E5F"/>
    <w:rsid w:val="008438E2"/>
    <w:rsid w:val="00843A7F"/>
    <w:rsid w:val="00844578"/>
    <w:rsid w:val="00845BA8"/>
    <w:rsid w:val="008479D0"/>
    <w:rsid w:val="00851D9A"/>
    <w:rsid w:val="0085219F"/>
    <w:rsid w:val="00854F22"/>
    <w:rsid w:val="00855A1A"/>
    <w:rsid w:val="00861D5F"/>
    <w:rsid w:val="00867F16"/>
    <w:rsid w:val="00872AFF"/>
    <w:rsid w:val="00882CBA"/>
    <w:rsid w:val="00884FA9"/>
    <w:rsid w:val="00885639"/>
    <w:rsid w:val="00895F49"/>
    <w:rsid w:val="00897E41"/>
    <w:rsid w:val="008A3C77"/>
    <w:rsid w:val="008A448D"/>
    <w:rsid w:val="008B0B30"/>
    <w:rsid w:val="008B144D"/>
    <w:rsid w:val="008B2CDE"/>
    <w:rsid w:val="008B2EB9"/>
    <w:rsid w:val="008B4D28"/>
    <w:rsid w:val="008B66EC"/>
    <w:rsid w:val="008C01B3"/>
    <w:rsid w:val="008C158D"/>
    <w:rsid w:val="008D0482"/>
    <w:rsid w:val="008D25B4"/>
    <w:rsid w:val="008E10D1"/>
    <w:rsid w:val="008E11FC"/>
    <w:rsid w:val="008F250C"/>
    <w:rsid w:val="008F26A7"/>
    <w:rsid w:val="009005DA"/>
    <w:rsid w:val="00901A78"/>
    <w:rsid w:val="009045A7"/>
    <w:rsid w:val="00905277"/>
    <w:rsid w:val="00905C32"/>
    <w:rsid w:val="00907A8B"/>
    <w:rsid w:val="00907B72"/>
    <w:rsid w:val="00911D8A"/>
    <w:rsid w:val="0091449D"/>
    <w:rsid w:val="009170E1"/>
    <w:rsid w:val="009206C9"/>
    <w:rsid w:val="0092333F"/>
    <w:rsid w:val="00925627"/>
    <w:rsid w:val="009271DB"/>
    <w:rsid w:val="00933CAD"/>
    <w:rsid w:val="00934E57"/>
    <w:rsid w:val="00935FFC"/>
    <w:rsid w:val="009401C3"/>
    <w:rsid w:val="00942107"/>
    <w:rsid w:val="00945FF0"/>
    <w:rsid w:val="00946CA8"/>
    <w:rsid w:val="00947420"/>
    <w:rsid w:val="009618D9"/>
    <w:rsid w:val="009643AC"/>
    <w:rsid w:val="00964715"/>
    <w:rsid w:val="00966352"/>
    <w:rsid w:val="00972B0D"/>
    <w:rsid w:val="00974589"/>
    <w:rsid w:val="00975DDD"/>
    <w:rsid w:val="009763DC"/>
    <w:rsid w:val="0097690F"/>
    <w:rsid w:val="009829B1"/>
    <w:rsid w:val="00985B24"/>
    <w:rsid w:val="00985CD8"/>
    <w:rsid w:val="00986752"/>
    <w:rsid w:val="00987970"/>
    <w:rsid w:val="00996D4A"/>
    <w:rsid w:val="00997B93"/>
    <w:rsid w:val="009A03EF"/>
    <w:rsid w:val="009B2663"/>
    <w:rsid w:val="009B6A8D"/>
    <w:rsid w:val="009C4270"/>
    <w:rsid w:val="009C5FFF"/>
    <w:rsid w:val="009C7D14"/>
    <w:rsid w:val="009D009D"/>
    <w:rsid w:val="009D222B"/>
    <w:rsid w:val="009D7A54"/>
    <w:rsid w:val="009E6E99"/>
    <w:rsid w:val="009F42B0"/>
    <w:rsid w:val="009F519C"/>
    <w:rsid w:val="009F729B"/>
    <w:rsid w:val="009F75C0"/>
    <w:rsid w:val="00A001B0"/>
    <w:rsid w:val="00A00BBD"/>
    <w:rsid w:val="00A02281"/>
    <w:rsid w:val="00A02386"/>
    <w:rsid w:val="00A0405A"/>
    <w:rsid w:val="00A05CD6"/>
    <w:rsid w:val="00A1048E"/>
    <w:rsid w:val="00A10D20"/>
    <w:rsid w:val="00A11134"/>
    <w:rsid w:val="00A11ECB"/>
    <w:rsid w:val="00A13AF4"/>
    <w:rsid w:val="00A22BDE"/>
    <w:rsid w:val="00A270C0"/>
    <w:rsid w:val="00A2725A"/>
    <w:rsid w:val="00A305CB"/>
    <w:rsid w:val="00A30E5A"/>
    <w:rsid w:val="00A3437A"/>
    <w:rsid w:val="00A34539"/>
    <w:rsid w:val="00A34806"/>
    <w:rsid w:val="00A34C7E"/>
    <w:rsid w:val="00A406D5"/>
    <w:rsid w:val="00A42124"/>
    <w:rsid w:val="00A442D3"/>
    <w:rsid w:val="00A55B66"/>
    <w:rsid w:val="00A608CC"/>
    <w:rsid w:val="00A64886"/>
    <w:rsid w:val="00A649C5"/>
    <w:rsid w:val="00A65EF5"/>
    <w:rsid w:val="00A66F0E"/>
    <w:rsid w:val="00A671B8"/>
    <w:rsid w:val="00A70194"/>
    <w:rsid w:val="00A71F0F"/>
    <w:rsid w:val="00A72894"/>
    <w:rsid w:val="00A73376"/>
    <w:rsid w:val="00A77532"/>
    <w:rsid w:val="00A7789D"/>
    <w:rsid w:val="00A8155D"/>
    <w:rsid w:val="00A831B8"/>
    <w:rsid w:val="00A83B98"/>
    <w:rsid w:val="00A85E45"/>
    <w:rsid w:val="00A92A46"/>
    <w:rsid w:val="00A9621B"/>
    <w:rsid w:val="00A979DF"/>
    <w:rsid w:val="00A97F07"/>
    <w:rsid w:val="00AA32A5"/>
    <w:rsid w:val="00AA4C17"/>
    <w:rsid w:val="00AA695D"/>
    <w:rsid w:val="00AA69C0"/>
    <w:rsid w:val="00AA7A26"/>
    <w:rsid w:val="00AB14F5"/>
    <w:rsid w:val="00AB1F58"/>
    <w:rsid w:val="00AB3E5D"/>
    <w:rsid w:val="00AB5544"/>
    <w:rsid w:val="00AB6991"/>
    <w:rsid w:val="00AC55DD"/>
    <w:rsid w:val="00AC55E8"/>
    <w:rsid w:val="00AD39F3"/>
    <w:rsid w:val="00AD4F0B"/>
    <w:rsid w:val="00AE2ECE"/>
    <w:rsid w:val="00AE3E60"/>
    <w:rsid w:val="00AE4134"/>
    <w:rsid w:val="00AE5721"/>
    <w:rsid w:val="00AF3C2F"/>
    <w:rsid w:val="00AF40D2"/>
    <w:rsid w:val="00AF4CB5"/>
    <w:rsid w:val="00AF5308"/>
    <w:rsid w:val="00B02FAF"/>
    <w:rsid w:val="00B06384"/>
    <w:rsid w:val="00B104B0"/>
    <w:rsid w:val="00B131D3"/>
    <w:rsid w:val="00B258E9"/>
    <w:rsid w:val="00B332E7"/>
    <w:rsid w:val="00B33D57"/>
    <w:rsid w:val="00B35F3D"/>
    <w:rsid w:val="00B374A2"/>
    <w:rsid w:val="00B400A9"/>
    <w:rsid w:val="00B4501C"/>
    <w:rsid w:val="00B453CB"/>
    <w:rsid w:val="00B45A8E"/>
    <w:rsid w:val="00B622BA"/>
    <w:rsid w:val="00B66683"/>
    <w:rsid w:val="00B735FA"/>
    <w:rsid w:val="00B746B5"/>
    <w:rsid w:val="00B76818"/>
    <w:rsid w:val="00B779A0"/>
    <w:rsid w:val="00B80BEA"/>
    <w:rsid w:val="00B81CB9"/>
    <w:rsid w:val="00B836A1"/>
    <w:rsid w:val="00B845B9"/>
    <w:rsid w:val="00B93CCB"/>
    <w:rsid w:val="00BA6160"/>
    <w:rsid w:val="00BA6491"/>
    <w:rsid w:val="00BB1AB8"/>
    <w:rsid w:val="00BB4455"/>
    <w:rsid w:val="00BB64E2"/>
    <w:rsid w:val="00BB7664"/>
    <w:rsid w:val="00BC580A"/>
    <w:rsid w:val="00BD5A68"/>
    <w:rsid w:val="00BD69AF"/>
    <w:rsid w:val="00BD6FEF"/>
    <w:rsid w:val="00BD73B1"/>
    <w:rsid w:val="00BE0298"/>
    <w:rsid w:val="00BE202A"/>
    <w:rsid w:val="00BE220E"/>
    <w:rsid w:val="00BE2D60"/>
    <w:rsid w:val="00BE2F06"/>
    <w:rsid w:val="00BE6893"/>
    <w:rsid w:val="00BE7CED"/>
    <w:rsid w:val="00BF0E5C"/>
    <w:rsid w:val="00BF1A71"/>
    <w:rsid w:val="00BF49B9"/>
    <w:rsid w:val="00BF5799"/>
    <w:rsid w:val="00C007CA"/>
    <w:rsid w:val="00C032EE"/>
    <w:rsid w:val="00C07E85"/>
    <w:rsid w:val="00C14929"/>
    <w:rsid w:val="00C200A3"/>
    <w:rsid w:val="00C201BE"/>
    <w:rsid w:val="00C22378"/>
    <w:rsid w:val="00C26456"/>
    <w:rsid w:val="00C26CCB"/>
    <w:rsid w:val="00C32E7A"/>
    <w:rsid w:val="00C33916"/>
    <w:rsid w:val="00C3532C"/>
    <w:rsid w:val="00C3627B"/>
    <w:rsid w:val="00C41DC6"/>
    <w:rsid w:val="00C60020"/>
    <w:rsid w:val="00C6150E"/>
    <w:rsid w:val="00C61EB8"/>
    <w:rsid w:val="00C6498E"/>
    <w:rsid w:val="00C64C20"/>
    <w:rsid w:val="00C652D1"/>
    <w:rsid w:val="00C71936"/>
    <w:rsid w:val="00C7345B"/>
    <w:rsid w:val="00C7370A"/>
    <w:rsid w:val="00C804E3"/>
    <w:rsid w:val="00C805CE"/>
    <w:rsid w:val="00C81617"/>
    <w:rsid w:val="00C826D7"/>
    <w:rsid w:val="00C83B23"/>
    <w:rsid w:val="00C90EF3"/>
    <w:rsid w:val="00CA102C"/>
    <w:rsid w:val="00CA1144"/>
    <w:rsid w:val="00CA1892"/>
    <w:rsid w:val="00CA49D4"/>
    <w:rsid w:val="00CA4E1C"/>
    <w:rsid w:val="00CA6688"/>
    <w:rsid w:val="00CA6B87"/>
    <w:rsid w:val="00CB0474"/>
    <w:rsid w:val="00CB0639"/>
    <w:rsid w:val="00CB2CD8"/>
    <w:rsid w:val="00CB4DD7"/>
    <w:rsid w:val="00CC64A6"/>
    <w:rsid w:val="00CC6803"/>
    <w:rsid w:val="00CD1AEF"/>
    <w:rsid w:val="00CD3F91"/>
    <w:rsid w:val="00CE0239"/>
    <w:rsid w:val="00CE0C1D"/>
    <w:rsid w:val="00CE56BA"/>
    <w:rsid w:val="00CE5857"/>
    <w:rsid w:val="00CF77B3"/>
    <w:rsid w:val="00D01283"/>
    <w:rsid w:val="00D0161D"/>
    <w:rsid w:val="00D01869"/>
    <w:rsid w:val="00D0363D"/>
    <w:rsid w:val="00D05A59"/>
    <w:rsid w:val="00D1273B"/>
    <w:rsid w:val="00D14CD3"/>
    <w:rsid w:val="00D17663"/>
    <w:rsid w:val="00D20124"/>
    <w:rsid w:val="00D208FB"/>
    <w:rsid w:val="00D25910"/>
    <w:rsid w:val="00D25D45"/>
    <w:rsid w:val="00D26459"/>
    <w:rsid w:val="00D2799C"/>
    <w:rsid w:val="00D31705"/>
    <w:rsid w:val="00D31C06"/>
    <w:rsid w:val="00D40A19"/>
    <w:rsid w:val="00D40A29"/>
    <w:rsid w:val="00D41016"/>
    <w:rsid w:val="00D5073B"/>
    <w:rsid w:val="00D51AD8"/>
    <w:rsid w:val="00D53413"/>
    <w:rsid w:val="00D54766"/>
    <w:rsid w:val="00D55E52"/>
    <w:rsid w:val="00D56883"/>
    <w:rsid w:val="00D575DA"/>
    <w:rsid w:val="00D61B43"/>
    <w:rsid w:val="00D75FEE"/>
    <w:rsid w:val="00D7725A"/>
    <w:rsid w:val="00D81700"/>
    <w:rsid w:val="00D869DC"/>
    <w:rsid w:val="00D87E25"/>
    <w:rsid w:val="00D96055"/>
    <w:rsid w:val="00DA1196"/>
    <w:rsid w:val="00DA123A"/>
    <w:rsid w:val="00DA1C9A"/>
    <w:rsid w:val="00DA5A47"/>
    <w:rsid w:val="00DA69D5"/>
    <w:rsid w:val="00DB0A37"/>
    <w:rsid w:val="00DB5728"/>
    <w:rsid w:val="00DB5B6B"/>
    <w:rsid w:val="00DB5D2D"/>
    <w:rsid w:val="00DC0F18"/>
    <w:rsid w:val="00DC3DB4"/>
    <w:rsid w:val="00DC508E"/>
    <w:rsid w:val="00DC71B4"/>
    <w:rsid w:val="00DD0684"/>
    <w:rsid w:val="00DD2277"/>
    <w:rsid w:val="00DD2D53"/>
    <w:rsid w:val="00DE4614"/>
    <w:rsid w:val="00DE649B"/>
    <w:rsid w:val="00DF2339"/>
    <w:rsid w:val="00E0001A"/>
    <w:rsid w:val="00E1037C"/>
    <w:rsid w:val="00E10876"/>
    <w:rsid w:val="00E122CD"/>
    <w:rsid w:val="00E228AB"/>
    <w:rsid w:val="00E22B2A"/>
    <w:rsid w:val="00E259B1"/>
    <w:rsid w:val="00E25B4A"/>
    <w:rsid w:val="00E25BCC"/>
    <w:rsid w:val="00E26B07"/>
    <w:rsid w:val="00E277B8"/>
    <w:rsid w:val="00E32FBD"/>
    <w:rsid w:val="00E33097"/>
    <w:rsid w:val="00E34528"/>
    <w:rsid w:val="00E34A26"/>
    <w:rsid w:val="00E408F3"/>
    <w:rsid w:val="00E44BD9"/>
    <w:rsid w:val="00E45EEF"/>
    <w:rsid w:val="00E51891"/>
    <w:rsid w:val="00E533D8"/>
    <w:rsid w:val="00E5534D"/>
    <w:rsid w:val="00E56EBF"/>
    <w:rsid w:val="00E578FE"/>
    <w:rsid w:val="00E6504A"/>
    <w:rsid w:val="00E75B10"/>
    <w:rsid w:val="00E800DE"/>
    <w:rsid w:val="00E81D62"/>
    <w:rsid w:val="00E83A8D"/>
    <w:rsid w:val="00E84970"/>
    <w:rsid w:val="00E84B6C"/>
    <w:rsid w:val="00E85D15"/>
    <w:rsid w:val="00E9222F"/>
    <w:rsid w:val="00E968C7"/>
    <w:rsid w:val="00EA6FEF"/>
    <w:rsid w:val="00EA737B"/>
    <w:rsid w:val="00EA7B32"/>
    <w:rsid w:val="00EB0C8E"/>
    <w:rsid w:val="00EB3443"/>
    <w:rsid w:val="00EB3ADB"/>
    <w:rsid w:val="00EB4089"/>
    <w:rsid w:val="00EB4223"/>
    <w:rsid w:val="00EB56BA"/>
    <w:rsid w:val="00EC0D27"/>
    <w:rsid w:val="00EC23F1"/>
    <w:rsid w:val="00EC38C0"/>
    <w:rsid w:val="00ED14D4"/>
    <w:rsid w:val="00ED1671"/>
    <w:rsid w:val="00ED4848"/>
    <w:rsid w:val="00ED66E1"/>
    <w:rsid w:val="00ED7619"/>
    <w:rsid w:val="00EE0682"/>
    <w:rsid w:val="00EE6535"/>
    <w:rsid w:val="00EF03A7"/>
    <w:rsid w:val="00EF452E"/>
    <w:rsid w:val="00EF4A16"/>
    <w:rsid w:val="00EF6090"/>
    <w:rsid w:val="00EF6A3F"/>
    <w:rsid w:val="00EF7F21"/>
    <w:rsid w:val="00F11961"/>
    <w:rsid w:val="00F11D81"/>
    <w:rsid w:val="00F20308"/>
    <w:rsid w:val="00F20834"/>
    <w:rsid w:val="00F23491"/>
    <w:rsid w:val="00F2669F"/>
    <w:rsid w:val="00F27BB1"/>
    <w:rsid w:val="00F30974"/>
    <w:rsid w:val="00F315E8"/>
    <w:rsid w:val="00F320DB"/>
    <w:rsid w:val="00F32E55"/>
    <w:rsid w:val="00F3379A"/>
    <w:rsid w:val="00F35285"/>
    <w:rsid w:val="00F403DD"/>
    <w:rsid w:val="00F404A6"/>
    <w:rsid w:val="00F4346D"/>
    <w:rsid w:val="00F45526"/>
    <w:rsid w:val="00F47E11"/>
    <w:rsid w:val="00F50855"/>
    <w:rsid w:val="00F50E49"/>
    <w:rsid w:val="00F6758F"/>
    <w:rsid w:val="00F704BB"/>
    <w:rsid w:val="00F71A43"/>
    <w:rsid w:val="00F71D70"/>
    <w:rsid w:val="00F74307"/>
    <w:rsid w:val="00F77E6E"/>
    <w:rsid w:val="00F81D06"/>
    <w:rsid w:val="00F907E9"/>
    <w:rsid w:val="00F9202A"/>
    <w:rsid w:val="00F93C6D"/>
    <w:rsid w:val="00F948ED"/>
    <w:rsid w:val="00F9708F"/>
    <w:rsid w:val="00FA0F7D"/>
    <w:rsid w:val="00FA2994"/>
    <w:rsid w:val="00FA78AD"/>
    <w:rsid w:val="00FB03BA"/>
    <w:rsid w:val="00FB299D"/>
    <w:rsid w:val="00FB6D83"/>
    <w:rsid w:val="00FC5E21"/>
    <w:rsid w:val="00FD07E7"/>
    <w:rsid w:val="00FD2373"/>
    <w:rsid w:val="00FD463F"/>
    <w:rsid w:val="00FE1110"/>
    <w:rsid w:val="00FE1EF4"/>
    <w:rsid w:val="00FE2472"/>
    <w:rsid w:val="00FE4931"/>
    <w:rsid w:val="00FF5C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E18"/>
  </w:style>
  <w:style w:type="paragraph" w:styleId="2">
    <w:name w:val="heading 2"/>
    <w:basedOn w:val="a"/>
    <w:next w:val="a"/>
    <w:link w:val="20"/>
    <w:qFormat/>
    <w:rsid w:val="004A5FDE"/>
    <w:pPr>
      <w:keepNext/>
      <w:numPr>
        <w:ilvl w:val="1"/>
        <w:numId w:val="2"/>
      </w:numPr>
      <w:spacing w:before="240" w:after="60" w:line="240" w:lineRule="auto"/>
      <w:outlineLvl w:val="1"/>
    </w:pPr>
    <w:rPr>
      <w:rFonts w:ascii="Arial" w:eastAsia="Times New Roman" w:hAnsi="Arial" w:cs="Arial"/>
      <w:b/>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3379A"/>
    <w:pPr>
      <w:spacing w:after="0" w:line="240" w:lineRule="auto"/>
      <w:ind w:left="1276"/>
    </w:pPr>
    <w:rPr>
      <w:rFonts w:ascii="Times New Roman" w:eastAsia="Times New Roman" w:hAnsi="Times New Roman" w:cs="Times New Roman"/>
      <w:szCs w:val="20"/>
      <w:lang w:val="ru-RU" w:eastAsia="ru-RU"/>
    </w:rPr>
  </w:style>
  <w:style w:type="character" w:customStyle="1" w:styleId="a4">
    <w:name w:val="Основной текст с отступом Знак"/>
    <w:basedOn w:val="a0"/>
    <w:link w:val="a3"/>
    <w:rsid w:val="00F3379A"/>
    <w:rPr>
      <w:rFonts w:ascii="Times New Roman" w:eastAsia="Times New Roman" w:hAnsi="Times New Roman" w:cs="Times New Roman"/>
      <w:szCs w:val="20"/>
      <w:lang w:val="ru-RU" w:eastAsia="ru-RU"/>
    </w:rPr>
  </w:style>
  <w:style w:type="table" w:styleId="a5">
    <w:name w:val="Table Grid"/>
    <w:basedOn w:val="a1"/>
    <w:rsid w:val="00AF40D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9225A"/>
    <w:pPr>
      <w:ind w:left="720"/>
      <w:contextualSpacing/>
    </w:pPr>
  </w:style>
  <w:style w:type="character" w:customStyle="1" w:styleId="apple-converted-space">
    <w:name w:val="apple-converted-space"/>
    <w:basedOn w:val="a0"/>
    <w:rsid w:val="007012B3"/>
  </w:style>
  <w:style w:type="character" w:styleId="a7">
    <w:name w:val="Hyperlink"/>
    <w:basedOn w:val="a0"/>
    <w:uiPriority w:val="99"/>
    <w:unhideWhenUsed/>
    <w:rsid w:val="007012B3"/>
    <w:rPr>
      <w:color w:val="0000FF"/>
      <w:u w:val="single"/>
    </w:rPr>
  </w:style>
  <w:style w:type="character" w:customStyle="1" w:styleId="20">
    <w:name w:val="Заголовок 2 Знак"/>
    <w:basedOn w:val="a0"/>
    <w:link w:val="2"/>
    <w:rsid w:val="004A5FDE"/>
    <w:rPr>
      <w:rFonts w:ascii="Arial" w:eastAsia="Times New Roman" w:hAnsi="Arial" w:cs="Arial"/>
      <w:b/>
      <w:i/>
      <w:iCs/>
      <w:sz w:val="28"/>
      <w:szCs w:val="28"/>
      <w:lang w:val="ru-RU" w:eastAsia="ru-RU"/>
    </w:rPr>
  </w:style>
  <w:style w:type="paragraph" w:customStyle="1" w:styleId="Just">
    <w:name w:val="Just"/>
    <w:uiPriority w:val="99"/>
    <w:rsid w:val="004A5FDE"/>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F71D7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1D70"/>
    <w:rPr>
      <w:rFonts w:ascii="Tahoma" w:hAnsi="Tahoma" w:cs="Tahoma"/>
      <w:sz w:val="16"/>
      <w:szCs w:val="16"/>
    </w:rPr>
  </w:style>
  <w:style w:type="character" w:customStyle="1" w:styleId="hps">
    <w:name w:val="hps"/>
    <w:basedOn w:val="a0"/>
    <w:rsid w:val="003B01D2"/>
  </w:style>
  <w:style w:type="paragraph" w:styleId="HTML">
    <w:name w:val="HTML Preformatted"/>
    <w:basedOn w:val="a"/>
    <w:link w:val="HTML0"/>
    <w:uiPriority w:val="99"/>
    <w:semiHidden/>
    <w:unhideWhenUsed/>
    <w:rsid w:val="00AB5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AB5544"/>
    <w:rPr>
      <w:rFonts w:ascii="Courier New" w:eastAsia="Times New Roman" w:hAnsi="Courier New" w:cs="Courier New"/>
      <w:sz w:val="20"/>
      <w:szCs w:val="20"/>
      <w:lang w:eastAsia="uk-UA"/>
    </w:rPr>
  </w:style>
  <w:style w:type="paragraph" w:customStyle="1" w:styleId="Default">
    <w:name w:val="Default"/>
    <w:rsid w:val="004E6A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54011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4724">
      <w:bodyDiv w:val="1"/>
      <w:marLeft w:val="0"/>
      <w:marRight w:val="0"/>
      <w:marTop w:val="0"/>
      <w:marBottom w:val="0"/>
      <w:divBdr>
        <w:top w:val="none" w:sz="0" w:space="0" w:color="auto"/>
        <w:left w:val="none" w:sz="0" w:space="0" w:color="auto"/>
        <w:bottom w:val="none" w:sz="0" w:space="0" w:color="auto"/>
        <w:right w:val="none" w:sz="0" w:space="0" w:color="auto"/>
      </w:divBdr>
    </w:div>
    <w:div w:id="313799934">
      <w:bodyDiv w:val="1"/>
      <w:marLeft w:val="0"/>
      <w:marRight w:val="0"/>
      <w:marTop w:val="0"/>
      <w:marBottom w:val="0"/>
      <w:divBdr>
        <w:top w:val="none" w:sz="0" w:space="0" w:color="auto"/>
        <w:left w:val="none" w:sz="0" w:space="0" w:color="auto"/>
        <w:bottom w:val="none" w:sz="0" w:space="0" w:color="auto"/>
        <w:right w:val="none" w:sz="0" w:space="0" w:color="auto"/>
      </w:divBdr>
    </w:div>
    <w:div w:id="536892667">
      <w:bodyDiv w:val="1"/>
      <w:marLeft w:val="0"/>
      <w:marRight w:val="0"/>
      <w:marTop w:val="0"/>
      <w:marBottom w:val="0"/>
      <w:divBdr>
        <w:top w:val="none" w:sz="0" w:space="0" w:color="auto"/>
        <w:left w:val="none" w:sz="0" w:space="0" w:color="auto"/>
        <w:bottom w:val="none" w:sz="0" w:space="0" w:color="auto"/>
        <w:right w:val="none" w:sz="0" w:space="0" w:color="auto"/>
      </w:divBdr>
    </w:div>
    <w:div w:id="550196786">
      <w:bodyDiv w:val="1"/>
      <w:marLeft w:val="0"/>
      <w:marRight w:val="0"/>
      <w:marTop w:val="0"/>
      <w:marBottom w:val="0"/>
      <w:divBdr>
        <w:top w:val="none" w:sz="0" w:space="0" w:color="auto"/>
        <w:left w:val="none" w:sz="0" w:space="0" w:color="auto"/>
        <w:bottom w:val="none" w:sz="0" w:space="0" w:color="auto"/>
        <w:right w:val="none" w:sz="0" w:space="0" w:color="auto"/>
      </w:divBdr>
    </w:div>
    <w:div w:id="1054739818">
      <w:bodyDiv w:val="1"/>
      <w:marLeft w:val="0"/>
      <w:marRight w:val="0"/>
      <w:marTop w:val="0"/>
      <w:marBottom w:val="0"/>
      <w:divBdr>
        <w:top w:val="none" w:sz="0" w:space="0" w:color="auto"/>
        <w:left w:val="none" w:sz="0" w:space="0" w:color="auto"/>
        <w:bottom w:val="none" w:sz="0" w:space="0" w:color="auto"/>
        <w:right w:val="none" w:sz="0" w:space="0" w:color="auto"/>
      </w:divBdr>
    </w:div>
    <w:div w:id="1336416865">
      <w:bodyDiv w:val="1"/>
      <w:marLeft w:val="0"/>
      <w:marRight w:val="0"/>
      <w:marTop w:val="0"/>
      <w:marBottom w:val="0"/>
      <w:divBdr>
        <w:top w:val="none" w:sz="0" w:space="0" w:color="auto"/>
        <w:left w:val="none" w:sz="0" w:space="0" w:color="auto"/>
        <w:bottom w:val="none" w:sz="0" w:space="0" w:color="auto"/>
        <w:right w:val="none" w:sz="0" w:space="0" w:color="auto"/>
      </w:divBdr>
    </w:div>
    <w:div w:id="1403603548">
      <w:bodyDiv w:val="1"/>
      <w:marLeft w:val="0"/>
      <w:marRight w:val="0"/>
      <w:marTop w:val="0"/>
      <w:marBottom w:val="0"/>
      <w:divBdr>
        <w:top w:val="none" w:sz="0" w:space="0" w:color="auto"/>
        <w:left w:val="none" w:sz="0" w:space="0" w:color="auto"/>
        <w:bottom w:val="none" w:sz="0" w:space="0" w:color="auto"/>
        <w:right w:val="none" w:sz="0" w:space="0" w:color="auto"/>
      </w:divBdr>
    </w:div>
    <w:div w:id="1403912945">
      <w:bodyDiv w:val="1"/>
      <w:marLeft w:val="0"/>
      <w:marRight w:val="0"/>
      <w:marTop w:val="0"/>
      <w:marBottom w:val="0"/>
      <w:divBdr>
        <w:top w:val="none" w:sz="0" w:space="0" w:color="auto"/>
        <w:left w:val="none" w:sz="0" w:space="0" w:color="auto"/>
        <w:bottom w:val="none" w:sz="0" w:space="0" w:color="auto"/>
        <w:right w:val="none" w:sz="0" w:space="0" w:color="auto"/>
      </w:divBdr>
    </w:div>
    <w:div w:id="1709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ma\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Спад</c:v>
          </c:tx>
          <c:val>
            <c:numRef>
              <c:f>Лист1!$C$6:$C$11</c:f>
              <c:numCache>
                <c:formatCode>General</c:formatCode>
                <c:ptCount val="6"/>
                <c:pt idx="0">
                  <c:v>0.59</c:v>
                </c:pt>
                <c:pt idx="1">
                  <c:v>0.61</c:v>
                </c:pt>
                <c:pt idx="2">
                  <c:v>0.62</c:v>
                </c:pt>
                <c:pt idx="3">
                  <c:v>0.63</c:v>
                </c:pt>
                <c:pt idx="4">
                  <c:v>0.64</c:v>
                </c:pt>
                <c:pt idx="5">
                  <c:v>0.66</c:v>
                </c:pt>
              </c:numCache>
            </c:numRef>
          </c:val>
          <c:smooth val="0"/>
        </c:ser>
        <c:ser>
          <c:idx val="1"/>
          <c:order val="1"/>
          <c:tx>
            <c:v>Насичення</c:v>
          </c:tx>
          <c:val>
            <c:numRef>
              <c:f>Лист1!$D$6:$D$11</c:f>
              <c:numCache>
                <c:formatCode>General</c:formatCode>
                <c:ptCount val="6"/>
                <c:pt idx="0">
                  <c:v>0.76</c:v>
                </c:pt>
                <c:pt idx="1">
                  <c:v>0.76</c:v>
                </c:pt>
                <c:pt idx="2">
                  <c:v>0.77</c:v>
                </c:pt>
                <c:pt idx="3">
                  <c:v>0.78</c:v>
                </c:pt>
                <c:pt idx="4">
                  <c:v>0.78</c:v>
                </c:pt>
                <c:pt idx="5">
                  <c:v>0.79</c:v>
                </c:pt>
              </c:numCache>
            </c:numRef>
          </c:val>
          <c:smooth val="0"/>
        </c:ser>
        <c:ser>
          <c:idx val="2"/>
          <c:order val="2"/>
          <c:tx>
            <c:v>Ріст</c:v>
          </c:tx>
          <c:val>
            <c:numRef>
              <c:f>Лист1!$E$6:$E$11</c:f>
              <c:numCache>
                <c:formatCode>General</c:formatCode>
                <c:ptCount val="6"/>
                <c:pt idx="0">
                  <c:v>0.88</c:v>
                </c:pt>
                <c:pt idx="1">
                  <c:v>0.89</c:v>
                </c:pt>
                <c:pt idx="2">
                  <c:v>0.89</c:v>
                </c:pt>
                <c:pt idx="3">
                  <c:v>0.89</c:v>
                </c:pt>
                <c:pt idx="4">
                  <c:v>0.9</c:v>
                </c:pt>
                <c:pt idx="5">
                  <c:v>0.9</c:v>
                </c:pt>
              </c:numCache>
            </c:numRef>
          </c:val>
          <c:smooth val="0"/>
        </c:ser>
        <c:dLbls>
          <c:showLegendKey val="0"/>
          <c:showVal val="0"/>
          <c:showCatName val="0"/>
          <c:showSerName val="0"/>
          <c:showPercent val="0"/>
          <c:showBubbleSize val="0"/>
        </c:dLbls>
        <c:dropLines/>
        <c:marker val="1"/>
        <c:smooth val="0"/>
        <c:axId val="164624640"/>
        <c:axId val="164757888"/>
      </c:lineChart>
      <c:catAx>
        <c:axId val="164624640"/>
        <c:scaling>
          <c:orientation val="minMax"/>
        </c:scaling>
        <c:delete val="0"/>
        <c:axPos val="b"/>
        <c:title>
          <c:tx>
            <c:rich>
              <a:bodyPr/>
              <a:lstStyle/>
              <a:p>
                <a:pPr>
                  <a:defRPr/>
                </a:pPr>
                <a:r>
                  <a:rPr lang="uk-UA"/>
                  <a:t>Строк продажу, міс</a:t>
                </a:r>
              </a:p>
            </c:rich>
          </c:tx>
          <c:overlay val="0"/>
        </c:title>
        <c:majorTickMark val="none"/>
        <c:minorTickMark val="none"/>
        <c:tickLblPos val="nextTo"/>
        <c:crossAx val="164757888"/>
        <c:crosses val="autoZero"/>
        <c:auto val="1"/>
        <c:lblAlgn val="ctr"/>
        <c:lblOffset val="100"/>
        <c:noMultiLvlLbl val="0"/>
      </c:catAx>
      <c:valAx>
        <c:axId val="164757888"/>
        <c:scaling>
          <c:orientation val="minMax"/>
          <c:min val="0.5"/>
        </c:scaling>
        <c:delete val="0"/>
        <c:axPos val="l"/>
        <c:majorGridlines/>
        <c:title>
          <c:tx>
            <c:rich>
              <a:bodyPr/>
              <a:lstStyle/>
              <a:p>
                <a:pPr>
                  <a:defRPr/>
                </a:pPr>
                <a:r>
                  <a:rPr lang="uk-UA"/>
                  <a:t>К-т</a:t>
                </a:r>
                <a:r>
                  <a:rPr lang="uk-UA" baseline="0"/>
                  <a:t> ліквід. вартості</a:t>
                </a:r>
                <a:endParaRPr lang="uk-UA"/>
              </a:p>
            </c:rich>
          </c:tx>
          <c:overlay val="0"/>
        </c:title>
        <c:numFmt formatCode="General" sourceLinked="1"/>
        <c:majorTickMark val="out"/>
        <c:minorTickMark val="none"/>
        <c:tickLblPos val="nextTo"/>
        <c:crossAx val="1646246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5</Pages>
  <Words>5047</Words>
  <Characters>2878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Дима</cp:lastModifiedBy>
  <cp:revision>95</cp:revision>
  <dcterms:created xsi:type="dcterms:W3CDTF">2012-09-25T11:48:00Z</dcterms:created>
  <dcterms:modified xsi:type="dcterms:W3CDTF">2015-06-22T09:52:00Z</dcterms:modified>
</cp:coreProperties>
</file>